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32"/>
          <w:szCs w:val="32"/>
        </w:rPr>
      </w:pPr>
      <w:r>
        <w:rPr>
          <w:rFonts w:ascii="Times New Roman" w:hAnsi="Times New Roman" w:cs="Times New Roman"/>
          <w:b/>
          <w:sz w:val="32"/>
          <w:szCs w:val="32"/>
        </w:rPr>
        <w:t>应用经济学</w:t>
      </w:r>
      <w:r>
        <w:rPr>
          <w:rFonts w:hint="eastAsia" w:ascii="Times New Roman" w:hAnsi="Times New Roman" w:cs="Times New Roman"/>
          <w:b/>
          <w:sz w:val="32"/>
          <w:szCs w:val="32"/>
        </w:rPr>
        <w:t>一级学科</w:t>
      </w:r>
      <w:r>
        <w:rPr>
          <w:rFonts w:ascii="Times New Roman" w:hAnsi="Times New Roman" w:cs="Times New Roman"/>
          <w:b/>
          <w:sz w:val="32"/>
          <w:szCs w:val="32"/>
        </w:rPr>
        <w:t>硕士研究生培养方案（0202）</w:t>
      </w:r>
    </w:p>
    <w:p>
      <w:pPr>
        <w:jc w:val="center"/>
        <w:rPr>
          <w:rFonts w:ascii="Times New Roman" w:hAnsi="Times New Roman" w:cs="Times New Roman"/>
          <w:sz w:val="20"/>
          <w:szCs w:val="21"/>
        </w:rPr>
      </w:pPr>
      <w:r>
        <w:rPr>
          <w:rFonts w:hint="eastAsia" w:ascii="Times New Roman" w:hAnsi="Times New Roman" w:cs="Times New Roman"/>
          <w:sz w:val="28"/>
          <w:szCs w:val="32"/>
        </w:rPr>
        <w:t>经济与管理学部</w:t>
      </w:r>
      <w:r>
        <w:rPr>
          <w:rFonts w:ascii="Times New Roman" w:hAnsi="Times New Roman" w:cs="Times New Roman"/>
          <w:sz w:val="28"/>
          <w:szCs w:val="32"/>
        </w:rPr>
        <w:t>经济学院</w:t>
      </w:r>
    </w:p>
    <w:p>
      <w:pPr>
        <w:rPr>
          <w:rFonts w:ascii="Times New Roman" w:hAnsi="Times New Roman" w:eastAsia="黑体" w:cs="Times New Roman"/>
          <w:sz w:val="24"/>
          <w:szCs w:val="24"/>
        </w:rPr>
      </w:pPr>
    </w:p>
    <w:p>
      <w:pPr>
        <w:spacing w:before="156" w:beforeLines="50" w:after="156" w:afterLines="50"/>
        <w:ind w:left="420"/>
        <w:rPr>
          <w:rFonts w:ascii="Times New Roman" w:hAnsi="Times New Roman" w:eastAsia="黑体" w:cs="Times New Roman"/>
          <w:sz w:val="24"/>
          <w:szCs w:val="24"/>
        </w:rPr>
      </w:pPr>
      <w:r>
        <w:rPr>
          <w:rFonts w:ascii="Times New Roman" w:hAnsi="Times New Roman" w:eastAsia="黑体" w:cs="Times New Roman"/>
          <w:sz w:val="24"/>
          <w:szCs w:val="24"/>
        </w:rPr>
        <w:t>一、指导思想</w:t>
      </w:r>
    </w:p>
    <w:p>
      <w:pPr>
        <w:ind w:firstLine="420" w:firstLineChars="200"/>
        <w:rPr>
          <w:rFonts w:ascii="Times New Roman" w:hAnsi="Times New Roman" w:cs="Times New Roman"/>
          <w:szCs w:val="21"/>
        </w:rPr>
      </w:pPr>
      <w:r>
        <w:rPr>
          <w:rFonts w:ascii="Times New Roman" w:hAnsi="Times New Roman" w:eastAsia="宋体" w:cs="Times New Roman"/>
          <w:szCs w:val="24"/>
        </w:rPr>
        <w:t>围绕新时代高质量发展要求，</w:t>
      </w:r>
      <w:r>
        <w:rPr>
          <w:rFonts w:ascii="Times New Roman" w:hAnsi="Times New Roman" w:cs="Times New Roman"/>
          <w:szCs w:val="21"/>
        </w:rPr>
        <w:t>立足学校未来应成为世界新学术、新科技、新人才策源地的站位，围绕卓越人才培养的目标，以“更新观念”和“改变思维”为先导，全面落实学校的双一流建设举措，深化全员全过程全方位育人格局，推动立德树人根本任务的落实。</w:t>
      </w:r>
    </w:p>
    <w:p>
      <w:pPr>
        <w:spacing w:before="156" w:beforeLines="50" w:after="156" w:afterLines="50"/>
        <w:ind w:left="420"/>
        <w:rPr>
          <w:rFonts w:ascii="Times New Roman" w:hAnsi="Times New Roman" w:eastAsia="黑体" w:cs="Times New Roman"/>
          <w:sz w:val="24"/>
          <w:szCs w:val="24"/>
        </w:rPr>
      </w:pPr>
      <w:r>
        <w:rPr>
          <w:rFonts w:ascii="Times New Roman" w:hAnsi="Times New Roman" w:eastAsia="黑体" w:cs="Times New Roman"/>
          <w:sz w:val="24"/>
          <w:szCs w:val="24"/>
        </w:rPr>
        <w:t>二、培养目标</w:t>
      </w:r>
    </w:p>
    <w:p>
      <w:pPr>
        <w:spacing w:before="156" w:beforeLines="50" w:after="156" w:afterLines="50"/>
        <w:ind w:firstLine="420" w:firstLineChars="200"/>
        <w:rPr>
          <w:rFonts w:ascii="Times New Roman" w:hAnsi="Times New Roman" w:eastAsia="黑体" w:cs="Times New Roman"/>
          <w:szCs w:val="21"/>
        </w:rPr>
      </w:pPr>
      <w:r>
        <w:rPr>
          <w:rFonts w:ascii="Times New Roman" w:hAnsi="Times New Roman" w:eastAsia="黑体" w:cs="Times New Roman"/>
          <w:szCs w:val="21"/>
        </w:rPr>
        <w:t>1.人才的基本定位</w:t>
      </w:r>
    </w:p>
    <w:p>
      <w:pPr>
        <w:ind w:firstLine="420" w:firstLineChars="200"/>
        <w:rPr>
          <w:rFonts w:ascii="Times New Roman" w:hAnsi="Times New Roman" w:cs="Times New Roman"/>
          <w:szCs w:val="21"/>
        </w:rPr>
      </w:pPr>
      <w:r>
        <w:rPr>
          <w:rFonts w:ascii="Times New Roman" w:hAnsi="Times New Roman" w:cs="Times New Roman"/>
          <w:szCs w:val="21"/>
        </w:rPr>
        <w:t>（1）</w:t>
      </w:r>
      <w:r>
        <w:rPr>
          <w:rFonts w:hint="eastAsia" w:ascii="宋体" w:hAnsi="宋体" w:eastAsia="宋体" w:cs="宋体"/>
          <w:bCs/>
          <w:szCs w:val="21"/>
        </w:rPr>
        <w:t>掌握马克思主义、毛泽东思想、邓小平理论、“三个代表”重要思想、科学发展观和习近平新时代中国特色社会主义思想</w:t>
      </w:r>
      <w:r>
        <w:rPr>
          <w:rFonts w:ascii="宋体" w:hAnsi="宋体" w:eastAsia="宋体" w:cs="Times New Roman"/>
          <w:szCs w:val="21"/>
        </w:rPr>
        <w:t>，</w:t>
      </w:r>
      <w:r>
        <w:rPr>
          <w:rFonts w:ascii="Times New Roman" w:hAnsi="Times New Roman" w:cs="Times New Roman"/>
          <w:szCs w:val="21"/>
        </w:rPr>
        <w:t>拥护党的基本路线，树立正确的世界观、人生观和价值观，遵纪守法，具有良好的道德品质和学术修养，具有较强的事业心和责任感，积极为社会主义现代化建设服务。</w:t>
      </w:r>
    </w:p>
    <w:p>
      <w:pPr>
        <w:ind w:firstLine="420" w:firstLineChars="200"/>
        <w:rPr>
          <w:rFonts w:ascii="Times New Roman" w:hAnsi="Times New Roman" w:cs="Times New Roman"/>
          <w:szCs w:val="21"/>
        </w:rPr>
      </w:pPr>
      <w:r>
        <w:rPr>
          <w:rFonts w:ascii="Times New Roman" w:hAnsi="Times New Roman" w:cs="Times New Roman"/>
          <w:szCs w:val="21"/>
        </w:rPr>
        <w:t>（2）</w:t>
      </w:r>
      <w:r>
        <w:rPr>
          <w:rFonts w:hint="eastAsia" w:cs="宋体" w:asciiTheme="minorEastAsia" w:hAnsiTheme="minorEastAsia"/>
          <w:bCs/>
          <w:szCs w:val="21"/>
        </w:rPr>
        <w:t>具有全面系统的经济学基础理论知识和厚实的专业知识</w:t>
      </w:r>
      <w:r>
        <w:rPr>
          <w:rFonts w:cs="Times New Roman" w:asciiTheme="minorEastAsia" w:hAnsiTheme="minorEastAsia"/>
          <w:szCs w:val="21"/>
        </w:rPr>
        <w:t>，较为</w:t>
      </w:r>
      <w:r>
        <w:rPr>
          <w:rFonts w:ascii="Times New Roman" w:hAnsi="Times New Roman" w:cs="Times New Roman"/>
          <w:szCs w:val="21"/>
        </w:rPr>
        <w:t>熟悉本学科专业的前沿动态，具有从事本学科领域科学研究工作或担负专业工作的能力，具备较为突出的创新意识和综合应用能力。</w:t>
      </w:r>
    </w:p>
    <w:p>
      <w:pPr>
        <w:ind w:firstLine="420" w:firstLineChars="200"/>
        <w:rPr>
          <w:rFonts w:ascii="Times New Roman" w:hAnsi="Times New Roman" w:cs="Times New Roman"/>
          <w:szCs w:val="21"/>
        </w:rPr>
      </w:pPr>
      <w:r>
        <w:rPr>
          <w:rFonts w:ascii="Times New Roman" w:hAnsi="Times New Roman" w:cs="Times New Roman"/>
          <w:szCs w:val="21"/>
        </w:rPr>
        <w:t>（3）掌握</w:t>
      </w:r>
      <w:r>
        <w:rPr>
          <w:rFonts w:ascii="Times New Roman" w:hAnsi="Times New Roman" w:eastAsia="宋体" w:cs="Times New Roman"/>
          <w:szCs w:val="21"/>
        </w:rPr>
        <w:t>一门外</w:t>
      </w:r>
      <w:r>
        <w:rPr>
          <w:rFonts w:ascii="Times New Roman" w:hAnsi="Times New Roman" w:cs="Times New Roman"/>
          <w:szCs w:val="21"/>
        </w:rPr>
        <w:t>语，能熟练地运用该门外语阅读本专业的文献资料，具有</w:t>
      </w:r>
      <w:r>
        <w:rPr>
          <w:rFonts w:hint="eastAsia" w:ascii="Times New Roman" w:hAnsi="Times New Roman" w:cs="Times New Roman"/>
          <w:szCs w:val="21"/>
        </w:rPr>
        <w:t>较强</w:t>
      </w:r>
      <w:r>
        <w:rPr>
          <w:rFonts w:ascii="Times New Roman" w:hAnsi="Times New Roman" w:cs="Times New Roman"/>
          <w:szCs w:val="21"/>
        </w:rPr>
        <w:t>的写作能力和进行国际学术交流的能力。</w:t>
      </w:r>
    </w:p>
    <w:p>
      <w:pPr>
        <w:spacing w:before="156" w:beforeLines="50" w:after="156" w:afterLines="50"/>
        <w:ind w:firstLine="420" w:firstLineChars="200"/>
        <w:rPr>
          <w:rFonts w:ascii="Times New Roman" w:hAnsi="Times New Roman" w:eastAsia="黑体" w:cs="Times New Roman"/>
          <w:szCs w:val="21"/>
        </w:rPr>
      </w:pPr>
      <w:r>
        <w:rPr>
          <w:rFonts w:ascii="Times New Roman" w:hAnsi="Times New Roman" w:eastAsia="黑体" w:cs="Times New Roman"/>
          <w:szCs w:val="21"/>
        </w:rPr>
        <w:t>2.对毕业生综合素质的要求</w:t>
      </w:r>
    </w:p>
    <w:p>
      <w:pPr>
        <w:widowControl/>
        <w:ind w:firstLine="437"/>
        <w:jc w:val="left"/>
        <w:rPr>
          <w:rFonts w:ascii="Times New Roman" w:hAnsi="Times New Roman" w:cs="Times New Roman"/>
          <w:szCs w:val="21"/>
        </w:rPr>
      </w:pPr>
      <w:r>
        <w:rPr>
          <w:rFonts w:ascii="Times New Roman" w:hAnsi="Times New Roman" w:cs="Times New Roman"/>
          <w:szCs w:val="21"/>
        </w:rPr>
        <w:t>（1）具备较为系统、扎实的专业基础知识。</w:t>
      </w:r>
    </w:p>
    <w:p>
      <w:pPr>
        <w:widowControl/>
        <w:ind w:firstLine="437"/>
        <w:jc w:val="left"/>
        <w:rPr>
          <w:rFonts w:ascii="Times New Roman" w:hAnsi="Times New Roman" w:cs="Times New Roman"/>
          <w:szCs w:val="21"/>
        </w:rPr>
      </w:pPr>
      <w:r>
        <w:rPr>
          <w:rFonts w:ascii="Times New Roman" w:hAnsi="Times New Roman" w:cs="Times New Roman"/>
          <w:szCs w:val="21"/>
        </w:rPr>
        <w:t>（2）较熟练地掌握现代经济学的研究方法，具备一定的经济学科研究水平。</w:t>
      </w:r>
    </w:p>
    <w:p>
      <w:pPr>
        <w:widowControl/>
        <w:ind w:firstLine="437"/>
        <w:jc w:val="left"/>
        <w:rPr>
          <w:rFonts w:ascii="Times New Roman" w:hAnsi="Times New Roman" w:cs="Times New Roman"/>
          <w:szCs w:val="21"/>
        </w:rPr>
      </w:pPr>
      <w:r>
        <w:rPr>
          <w:rFonts w:ascii="Times New Roman" w:hAnsi="Times New Roman" w:cs="Times New Roman"/>
          <w:szCs w:val="21"/>
        </w:rPr>
        <w:t>（3）较系统地了解现代经济相关行业的发展动态和发展趋势，较充分地了解现代市场体系的运行原理和运行动态。</w:t>
      </w:r>
    </w:p>
    <w:p>
      <w:pPr>
        <w:ind w:firstLine="420" w:firstLineChars="200"/>
        <w:rPr>
          <w:rFonts w:ascii="Times New Roman" w:hAnsi="Times New Roman" w:cs="Times New Roman"/>
          <w:szCs w:val="21"/>
        </w:rPr>
      </w:pPr>
      <w:r>
        <w:rPr>
          <w:rFonts w:ascii="Times New Roman" w:hAnsi="Times New Roman" w:cs="Times New Roman"/>
          <w:szCs w:val="21"/>
        </w:rPr>
        <w:t xml:space="preserve">（4）具有独立从事经济学科相关研究的较强能力。 </w:t>
      </w:r>
    </w:p>
    <w:p>
      <w:pPr>
        <w:widowControl/>
        <w:ind w:firstLine="437"/>
        <w:jc w:val="left"/>
        <w:rPr>
          <w:rFonts w:ascii="Times New Roman" w:hAnsi="Times New Roman" w:cs="Times New Roman"/>
          <w:szCs w:val="21"/>
        </w:rPr>
      </w:pPr>
      <w:r>
        <w:rPr>
          <w:rFonts w:ascii="Times New Roman" w:hAnsi="Times New Roman" w:cs="Times New Roman"/>
          <w:szCs w:val="21"/>
        </w:rPr>
        <w:t>（5）具备在经济相关专业机构和政府部门从事市场研究或政策研究的能力。</w:t>
      </w:r>
    </w:p>
    <w:p>
      <w:pPr>
        <w:widowControl/>
        <w:ind w:firstLine="437"/>
        <w:jc w:val="left"/>
        <w:rPr>
          <w:rFonts w:ascii="Times New Roman" w:hAnsi="Times New Roman" w:cs="Times New Roman"/>
          <w:szCs w:val="21"/>
        </w:rPr>
      </w:pPr>
      <w:r>
        <w:rPr>
          <w:rFonts w:ascii="Times New Roman" w:hAnsi="Times New Roman" w:cs="Times New Roman"/>
          <w:szCs w:val="21"/>
        </w:rPr>
        <w:t>（6）具有开阔的国际视野，能够熟练运用外语进行专业交流、专业阅读、专业写作和专业研究。</w:t>
      </w:r>
    </w:p>
    <w:p>
      <w:pPr>
        <w:spacing w:before="156" w:beforeLines="50" w:after="156" w:afterLines="50"/>
        <w:ind w:firstLine="420" w:firstLineChars="200"/>
        <w:rPr>
          <w:rFonts w:ascii="Times New Roman" w:hAnsi="Times New Roman" w:eastAsia="黑体" w:cs="Times New Roman"/>
          <w:szCs w:val="21"/>
        </w:rPr>
      </w:pPr>
      <w:r>
        <w:rPr>
          <w:rFonts w:ascii="Times New Roman" w:hAnsi="Times New Roman" w:eastAsia="黑体" w:cs="Times New Roman"/>
          <w:szCs w:val="21"/>
        </w:rPr>
        <w:t>3.人才的培养特色</w:t>
      </w:r>
    </w:p>
    <w:p>
      <w:pPr>
        <w:spacing w:before="156" w:beforeLines="50" w:after="156" w:afterLines="50"/>
        <w:ind w:firstLine="420" w:firstLineChars="200"/>
        <w:rPr>
          <w:rFonts w:ascii="Times New Roman" w:hAnsi="Times New Roman" w:eastAsia="黑体" w:cs="Times New Roman"/>
          <w:szCs w:val="21"/>
        </w:rPr>
      </w:pPr>
      <w:r>
        <w:rPr>
          <w:rFonts w:ascii="Times New Roman" w:hAnsi="Times New Roman" w:eastAsia="宋体" w:cs="Times New Roman"/>
          <w:szCs w:val="21"/>
        </w:rPr>
        <w:t>具有“求实创造、为人师表”的品格和工作态度，具备较好的理论功底和实务部门的实际操作能力。</w:t>
      </w:r>
    </w:p>
    <w:p>
      <w:pPr>
        <w:spacing w:before="156" w:beforeLines="50" w:after="156" w:afterLines="50"/>
        <w:ind w:left="420"/>
        <w:rPr>
          <w:rFonts w:ascii="Times New Roman" w:hAnsi="Times New Roman" w:eastAsia="黑体" w:cs="Times New Roman"/>
          <w:sz w:val="24"/>
          <w:szCs w:val="24"/>
        </w:rPr>
      </w:pPr>
      <w:r>
        <w:rPr>
          <w:rFonts w:ascii="Times New Roman" w:hAnsi="Times New Roman" w:eastAsia="黑体" w:cs="Times New Roman"/>
          <w:sz w:val="24"/>
          <w:szCs w:val="24"/>
        </w:rPr>
        <w:t>三、二级学科（专业）</w:t>
      </w:r>
    </w:p>
    <w:p>
      <w:pPr>
        <w:ind w:firstLine="420" w:firstLineChars="200"/>
        <w:rPr>
          <w:rFonts w:ascii="Times New Roman" w:hAnsi="Times New Roman" w:eastAsia="黑体" w:cs="Times New Roman"/>
          <w:szCs w:val="21"/>
        </w:rPr>
      </w:pPr>
      <w:r>
        <w:rPr>
          <w:rFonts w:ascii="Times New Roman" w:hAnsi="Times New Roman" w:eastAsia="黑体" w:cs="Times New Roman"/>
          <w:szCs w:val="21"/>
        </w:rPr>
        <w:t>1.</w:t>
      </w:r>
      <w:r>
        <w:rPr>
          <w:rFonts w:ascii="Times New Roman" w:hAnsi="Times New Roman" w:cs="Times New Roman"/>
        </w:rPr>
        <w:t xml:space="preserve"> </w:t>
      </w:r>
      <w:r>
        <w:rPr>
          <w:rFonts w:ascii="Times New Roman" w:hAnsi="Times New Roman" w:eastAsia="黑体" w:cs="Times New Roman"/>
          <w:szCs w:val="21"/>
        </w:rPr>
        <w:t>金融学（020204）</w:t>
      </w:r>
    </w:p>
    <w:p>
      <w:pPr>
        <w:ind w:firstLine="420" w:firstLineChars="200"/>
        <w:rPr>
          <w:rFonts w:ascii="Times New Roman" w:hAnsi="Times New Roman" w:eastAsia="黑体" w:cs="Times New Roman"/>
          <w:szCs w:val="21"/>
        </w:rPr>
      </w:pPr>
      <w:r>
        <w:rPr>
          <w:rFonts w:ascii="Times New Roman" w:hAnsi="Times New Roman" w:eastAsia="黑体" w:cs="Times New Roman"/>
          <w:szCs w:val="21"/>
        </w:rPr>
        <w:t>2.</w:t>
      </w:r>
      <w:r>
        <w:rPr>
          <w:rFonts w:ascii="Times New Roman" w:hAnsi="Times New Roman" w:cs="Times New Roman"/>
        </w:rPr>
        <w:t xml:space="preserve"> </w:t>
      </w:r>
      <w:r>
        <w:rPr>
          <w:rFonts w:ascii="Times New Roman" w:hAnsi="Times New Roman" w:eastAsia="黑体" w:cs="Times New Roman"/>
          <w:szCs w:val="21"/>
        </w:rPr>
        <w:t>产业经济学（020205）</w:t>
      </w:r>
    </w:p>
    <w:p>
      <w:pPr>
        <w:ind w:firstLine="420" w:firstLineChars="200"/>
        <w:rPr>
          <w:rFonts w:ascii="Times New Roman" w:hAnsi="Times New Roman" w:eastAsia="黑体" w:cs="Times New Roman"/>
          <w:szCs w:val="21"/>
        </w:rPr>
      </w:pPr>
      <w:r>
        <w:rPr>
          <w:rFonts w:ascii="Times New Roman" w:hAnsi="Times New Roman" w:eastAsia="黑体" w:cs="Times New Roman"/>
          <w:szCs w:val="21"/>
        </w:rPr>
        <w:t>3.</w:t>
      </w:r>
      <w:r>
        <w:rPr>
          <w:rFonts w:ascii="Times New Roman" w:hAnsi="Times New Roman" w:cs="Times New Roman"/>
        </w:rPr>
        <w:t xml:space="preserve"> </w:t>
      </w:r>
      <w:r>
        <w:rPr>
          <w:rFonts w:ascii="Times New Roman" w:hAnsi="Times New Roman" w:eastAsia="黑体" w:cs="Times New Roman"/>
          <w:szCs w:val="21"/>
        </w:rPr>
        <w:t>国际贸易学（020206）</w:t>
      </w:r>
    </w:p>
    <w:p>
      <w:pPr>
        <w:ind w:firstLine="420" w:firstLineChars="200"/>
        <w:rPr>
          <w:rFonts w:ascii="Times New Roman" w:hAnsi="Times New Roman" w:eastAsia="黑体" w:cs="Times New Roman"/>
          <w:szCs w:val="21"/>
        </w:rPr>
      </w:pPr>
      <w:r>
        <w:rPr>
          <w:rFonts w:ascii="Times New Roman" w:hAnsi="Times New Roman" w:eastAsia="黑体" w:cs="Times New Roman"/>
          <w:szCs w:val="21"/>
        </w:rPr>
        <w:t>4.</w:t>
      </w:r>
      <w:r>
        <w:rPr>
          <w:rFonts w:ascii="Times New Roman" w:hAnsi="Times New Roman" w:cs="Times New Roman"/>
        </w:rPr>
        <w:t xml:space="preserve"> </w:t>
      </w:r>
      <w:r>
        <w:rPr>
          <w:rFonts w:ascii="Times New Roman" w:hAnsi="Times New Roman" w:eastAsia="黑体" w:cs="Times New Roman"/>
          <w:szCs w:val="21"/>
        </w:rPr>
        <w:t>区域经济学（020202）</w:t>
      </w:r>
    </w:p>
    <w:p>
      <w:pPr>
        <w:spacing w:before="156" w:beforeLines="50" w:after="156" w:afterLines="50"/>
        <w:ind w:left="420"/>
        <w:rPr>
          <w:rFonts w:ascii="Times New Roman" w:hAnsi="Times New Roman" w:eastAsia="黑体" w:cs="Times New Roman"/>
          <w:sz w:val="24"/>
          <w:szCs w:val="24"/>
        </w:rPr>
      </w:pPr>
      <w:r>
        <w:rPr>
          <w:rFonts w:ascii="Times New Roman" w:hAnsi="Times New Roman" w:eastAsia="黑体" w:cs="Times New Roman"/>
          <w:sz w:val="24"/>
          <w:szCs w:val="24"/>
        </w:rPr>
        <w:t>四、毕业与学位要求</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1"/>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1" w:type="dxa"/>
          </w:tcPr>
          <w:p>
            <w:pPr>
              <w:spacing w:line="260" w:lineRule="exact"/>
              <w:rPr>
                <w:rFonts w:ascii="Times New Roman" w:hAnsi="Times New Roman" w:cs="Times New Roman"/>
                <w:b/>
                <w:bCs/>
                <w:szCs w:val="21"/>
              </w:rPr>
            </w:pPr>
            <w:r>
              <w:rPr>
                <w:rFonts w:ascii="Times New Roman" w:hAnsi="Times New Roman" w:cs="Times New Roman"/>
                <w:b/>
                <w:bCs/>
                <w:szCs w:val="21"/>
              </w:rPr>
              <w:t>毕业与学位授予要求（一级指标）</w:t>
            </w:r>
          </w:p>
        </w:tc>
        <w:tc>
          <w:tcPr>
            <w:tcW w:w="7229" w:type="dxa"/>
          </w:tcPr>
          <w:p>
            <w:pPr>
              <w:spacing w:line="400" w:lineRule="exact"/>
              <w:rPr>
                <w:rFonts w:ascii="Times New Roman" w:hAnsi="Times New Roman" w:cs="Times New Roman"/>
                <w:b/>
                <w:bCs/>
                <w:szCs w:val="21"/>
              </w:rPr>
            </w:pPr>
            <w:r>
              <w:rPr>
                <w:rFonts w:ascii="Times New Roman" w:hAnsi="Times New Roman" w:cs="Times New Roman"/>
                <w:b/>
                <w:bCs/>
                <w:szCs w:val="21"/>
              </w:rPr>
              <w:t>二级指标点（观测点）及其内涵阐述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1" w:type="dxa"/>
          </w:tcPr>
          <w:p>
            <w:pPr>
              <w:spacing w:line="400" w:lineRule="exact"/>
              <w:rPr>
                <w:rFonts w:ascii="Times New Roman" w:hAnsi="Times New Roman" w:cs="Times New Roman"/>
                <w:szCs w:val="21"/>
              </w:rPr>
            </w:pPr>
            <w:r>
              <w:rPr>
                <w:rFonts w:ascii="Times New Roman" w:hAnsi="Times New Roman" w:cs="Times New Roman"/>
                <w:szCs w:val="21"/>
              </w:rPr>
              <w:t>1.思政教育</w:t>
            </w:r>
          </w:p>
        </w:tc>
        <w:tc>
          <w:tcPr>
            <w:tcW w:w="7229" w:type="dxa"/>
          </w:tcPr>
          <w:p>
            <w:pPr>
              <w:spacing w:line="400" w:lineRule="exact"/>
              <w:rPr>
                <w:rFonts w:ascii="Times New Roman" w:hAnsi="Times New Roman" w:cs="Times New Roman"/>
                <w:szCs w:val="21"/>
              </w:rPr>
            </w:pPr>
            <w:r>
              <w:rPr>
                <w:rFonts w:ascii="Times New Roman" w:hAnsi="Times New Roman" w:cs="Times New Roman"/>
                <w:szCs w:val="21"/>
              </w:rPr>
              <w:t>1.1 思政课程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1" w:type="dxa"/>
            <w:vMerge w:val="restart"/>
            <w:vAlign w:val="center"/>
          </w:tcPr>
          <w:p>
            <w:pPr>
              <w:spacing w:line="400" w:lineRule="exact"/>
              <w:rPr>
                <w:rFonts w:ascii="Times New Roman" w:hAnsi="Times New Roman" w:cs="Times New Roman"/>
                <w:szCs w:val="21"/>
              </w:rPr>
            </w:pPr>
            <w:r>
              <w:rPr>
                <w:rFonts w:ascii="Times New Roman" w:hAnsi="Times New Roman" w:cs="Times New Roman"/>
                <w:szCs w:val="21"/>
              </w:rPr>
              <w:t>2.课程训练</w:t>
            </w:r>
          </w:p>
        </w:tc>
        <w:tc>
          <w:tcPr>
            <w:tcW w:w="7229" w:type="dxa"/>
          </w:tcPr>
          <w:p>
            <w:pPr>
              <w:spacing w:line="400" w:lineRule="exact"/>
              <w:rPr>
                <w:rFonts w:ascii="Times New Roman" w:hAnsi="Times New Roman" w:cs="Times New Roman"/>
                <w:szCs w:val="21"/>
              </w:rPr>
            </w:pPr>
            <w:r>
              <w:rPr>
                <w:rFonts w:ascii="Times New Roman" w:hAnsi="Times New Roman" w:cs="Times New Roman"/>
                <w:szCs w:val="21"/>
              </w:rPr>
              <w:t>2.1 通识课程：包括学术伦理和外语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1" w:type="dxa"/>
            <w:vMerge w:val="continue"/>
            <w:vAlign w:val="center"/>
          </w:tcPr>
          <w:p>
            <w:pPr>
              <w:spacing w:line="400" w:lineRule="exact"/>
              <w:rPr>
                <w:rFonts w:ascii="Times New Roman" w:hAnsi="Times New Roman" w:eastAsia="宋体" w:cs="Times New Roman"/>
                <w:szCs w:val="21"/>
              </w:rPr>
            </w:pPr>
          </w:p>
        </w:tc>
        <w:tc>
          <w:tcPr>
            <w:tcW w:w="7229" w:type="dxa"/>
          </w:tcPr>
          <w:p>
            <w:pPr>
              <w:spacing w:line="400" w:lineRule="exact"/>
              <w:rPr>
                <w:rFonts w:ascii="Times New Roman" w:hAnsi="Times New Roman" w:eastAsia="宋体" w:cs="Times New Roman"/>
                <w:szCs w:val="21"/>
              </w:rPr>
            </w:pPr>
            <w:r>
              <w:rPr>
                <w:rFonts w:ascii="Times New Roman" w:hAnsi="Times New Roman" w:cs="Times New Roman"/>
                <w:szCs w:val="21"/>
              </w:rPr>
              <w:t>2.2 专业课程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1" w:type="dxa"/>
            <w:vMerge w:val="restart"/>
            <w:vAlign w:val="center"/>
          </w:tcPr>
          <w:p>
            <w:pPr>
              <w:spacing w:line="400" w:lineRule="exact"/>
              <w:rPr>
                <w:rFonts w:ascii="Times New Roman" w:hAnsi="Times New Roman" w:cs="Times New Roman"/>
                <w:szCs w:val="21"/>
              </w:rPr>
            </w:pPr>
            <w:r>
              <w:rPr>
                <w:rFonts w:ascii="Times New Roman" w:hAnsi="Times New Roman" w:cs="Times New Roman"/>
                <w:szCs w:val="21"/>
              </w:rPr>
              <w:t>3.专业素质</w:t>
            </w:r>
          </w:p>
        </w:tc>
        <w:tc>
          <w:tcPr>
            <w:tcW w:w="7229" w:type="dxa"/>
          </w:tcPr>
          <w:p>
            <w:pPr>
              <w:spacing w:line="400" w:lineRule="exact"/>
              <w:rPr>
                <w:rFonts w:ascii="Times New Roman" w:hAnsi="Times New Roman" w:cs="Times New Roman"/>
                <w:szCs w:val="21"/>
              </w:rPr>
            </w:pPr>
            <w:r>
              <w:rPr>
                <w:rFonts w:ascii="Times New Roman" w:hAnsi="Times New Roman" w:cs="Times New Roman"/>
                <w:szCs w:val="21"/>
              </w:rPr>
              <w:t>3.1 独立科研：批判性思维</w:t>
            </w:r>
            <w:r>
              <w:rPr>
                <w:rFonts w:hint="eastAsia" w:ascii="Times New Roman" w:hAnsi="Times New Roman" w:cs="Times New Roman"/>
                <w:szCs w:val="21"/>
              </w:rPr>
              <w:t>养成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1" w:type="dxa"/>
            <w:vMerge w:val="continue"/>
          </w:tcPr>
          <w:p>
            <w:pPr>
              <w:spacing w:line="400" w:lineRule="exact"/>
              <w:rPr>
                <w:rFonts w:ascii="Times New Roman" w:hAnsi="Times New Roman" w:cs="Times New Roman"/>
                <w:szCs w:val="21"/>
              </w:rPr>
            </w:pPr>
          </w:p>
        </w:tc>
        <w:tc>
          <w:tcPr>
            <w:tcW w:w="7229" w:type="dxa"/>
          </w:tcPr>
          <w:p>
            <w:pPr>
              <w:spacing w:line="400" w:lineRule="exact"/>
              <w:rPr>
                <w:rFonts w:ascii="Times New Roman" w:hAnsi="Times New Roman" w:cs="Times New Roman"/>
                <w:szCs w:val="21"/>
              </w:rPr>
            </w:pPr>
            <w:r>
              <w:rPr>
                <w:rFonts w:ascii="Times New Roman" w:hAnsi="Times New Roman" w:cs="Times New Roman"/>
                <w:szCs w:val="21"/>
              </w:rPr>
              <w:t>3.2 科研实践：全面了解专业知识和技能，协同合作</w:t>
            </w:r>
          </w:p>
        </w:tc>
      </w:tr>
    </w:tbl>
    <w:p>
      <w:pPr>
        <w:spacing w:line="400" w:lineRule="exact"/>
        <w:ind w:firstLine="420" w:firstLineChars="200"/>
        <w:rPr>
          <w:rFonts w:ascii="Times New Roman" w:hAnsi="Times New Roman" w:eastAsia="宋体" w:cs="Times New Roman"/>
          <w:szCs w:val="21"/>
        </w:rPr>
      </w:pPr>
    </w:p>
    <w:p>
      <w:pPr>
        <w:spacing w:before="156" w:beforeLines="50" w:after="156" w:afterLines="50"/>
        <w:ind w:left="420"/>
        <w:rPr>
          <w:rFonts w:ascii="Times New Roman" w:hAnsi="Times New Roman" w:eastAsia="黑体" w:cs="Times New Roman"/>
          <w:sz w:val="24"/>
          <w:szCs w:val="24"/>
        </w:rPr>
      </w:pPr>
      <w:r>
        <w:rPr>
          <w:rFonts w:ascii="Times New Roman" w:hAnsi="Times New Roman" w:eastAsia="黑体" w:cs="Times New Roman"/>
          <w:sz w:val="24"/>
          <w:szCs w:val="24"/>
        </w:rPr>
        <w:t>五、学习年限与培养方式</w:t>
      </w:r>
    </w:p>
    <w:p>
      <w:pPr>
        <w:spacing w:before="156" w:beforeLines="50" w:after="156" w:afterLines="50"/>
        <w:ind w:firstLine="420" w:firstLineChars="200"/>
        <w:rPr>
          <w:rFonts w:ascii="Times New Roman" w:hAnsi="Times New Roman" w:cs="Times New Roman"/>
          <w:b/>
          <w:szCs w:val="21"/>
        </w:rPr>
      </w:pPr>
      <w:r>
        <w:rPr>
          <w:rFonts w:ascii="Times New Roman" w:hAnsi="Times New Roman" w:eastAsia="黑体" w:cs="Times New Roman"/>
          <w:szCs w:val="21"/>
        </w:rPr>
        <w:t>1.学习年限</w:t>
      </w:r>
    </w:p>
    <w:p>
      <w:pPr>
        <w:ind w:firstLine="420" w:firstLineChars="200"/>
        <w:rPr>
          <w:rFonts w:ascii="Times New Roman" w:hAnsi="Times New Roman" w:cs="Times New Roman"/>
          <w:szCs w:val="21"/>
        </w:rPr>
      </w:pPr>
      <w:r>
        <w:rPr>
          <w:rFonts w:ascii="Times New Roman" w:hAnsi="Times New Roman" w:cs="Times New Roman"/>
          <w:szCs w:val="21"/>
        </w:rPr>
        <w:t>硕士研究生基本学习年限为3年，最长学习年限为5年。</w:t>
      </w:r>
    </w:p>
    <w:p>
      <w:pPr>
        <w:spacing w:before="156" w:beforeLines="50" w:after="156" w:afterLines="50"/>
        <w:ind w:firstLine="420" w:firstLineChars="200"/>
        <w:rPr>
          <w:rFonts w:ascii="Times New Roman" w:hAnsi="Times New Roman" w:eastAsia="黑体" w:cs="Times New Roman"/>
          <w:szCs w:val="21"/>
        </w:rPr>
      </w:pPr>
      <w:r>
        <w:rPr>
          <w:rFonts w:ascii="Times New Roman" w:hAnsi="Times New Roman" w:eastAsia="黑体" w:cs="Times New Roman"/>
          <w:szCs w:val="21"/>
        </w:rPr>
        <w:t>2.培养方式</w:t>
      </w:r>
    </w:p>
    <w:p>
      <w:pPr>
        <w:spacing w:before="156" w:beforeLines="50" w:after="156" w:afterLines="50"/>
        <w:ind w:firstLine="420" w:firstLineChars="200"/>
        <w:rPr>
          <w:rFonts w:ascii="Times New Roman" w:hAnsi="Times New Roman" w:cs="Times New Roman"/>
          <w:szCs w:val="21"/>
        </w:rPr>
      </w:pPr>
      <w:r>
        <w:rPr>
          <w:rFonts w:ascii="Times New Roman" w:hAnsi="Times New Roman" w:cs="Times New Roman"/>
          <w:szCs w:val="21"/>
        </w:rPr>
        <w:t>培养方式为全日制，由导师负责并接受导师小组的集体指导。导师小组成员可以视研究需要，由跨学科、跨专业或国内外同行学者组成。</w:t>
      </w:r>
    </w:p>
    <w:p>
      <w:pPr>
        <w:spacing w:before="156" w:beforeLines="50" w:after="156" w:afterLines="50"/>
        <w:ind w:left="420"/>
        <w:rPr>
          <w:rFonts w:ascii="Times New Roman" w:hAnsi="Times New Roman" w:eastAsia="黑体" w:cs="Times New Roman"/>
          <w:sz w:val="24"/>
          <w:szCs w:val="24"/>
        </w:rPr>
      </w:pPr>
      <w:r>
        <w:rPr>
          <w:rFonts w:ascii="Times New Roman" w:hAnsi="Times New Roman" w:eastAsia="黑体" w:cs="Times New Roman"/>
          <w:sz w:val="24"/>
          <w:szCs w:val="24"/>
        </w:rPr>
        <w:t>六、课程体系及学分要求</w:t>
      </w:r>
    </w:p>
    <w:p>
      <w:pPr>
        <w:spacing w:before="156" w:beforeLines="50" w:after="156" w:afterLines="50"/>
        <w:ind w:firstLine="420" w:firstLineChars="200"/>
        <w:rPr>
          <w:rFonts w:ascii="Times New Roman" w:hAnsi="Times New Roman" w:cs="Times New Roman"/>
          <w:b/>
          <w:szCs w:val="21"/>
        </w:rPr>
      </w:pPr>
      <w:r>
        <w:rPr>
          <w:rFonts w:ascii="Times New Roman" w:hAnsi="Times New Roman" w:eastAsia="黑体" w:cs="Times New Roman"/>
          <w:szCs w:val="21"/>
        </w:rPr>
        <w:t>1.学分要求</w:t>
      </w:r>
    </w:p>
    <w:p>
      <w:pPr>
        <w:ind w:firstLine="420" w:firstLineChars="200"/>
        <w:rPr>
          <w:rFonts w:ascii="Times New Roman" w:hAnsi="Times New Roman" w:cs="Times New Roman"/>
          <w:szCs w:val="21"/>
        </w:rPr>
      </w:pPr>
      <w:r>
        <w:rPr>
          <w:rFonts w:ascii="Times New Roman" w:hAnsi="Times New Roman" w:cs="Times New Roman"/>
          <w:szCs w:val="21"/>
        </w:rPr>
        <w:t>（1）硕士研究生修读总学分：__</w:t>
      </w:r>
      <w:r>
        <w:rPr>
          <w:rFonts w:hint="eastAsia" w:ascii="Times New Roman" w:hAnsi="Times New Roman" w:cs="Times New Roman"/>
          <w:szCs w:val="21"/>
        </w:rPr>
        <w:t>29</w:t>
      </w:r>
      <w:r>
        <w:rPr>
          <w:rFonts w:ascii="Times New Roman" w:hAnsi="Times New Roman" w:cs="Times New Roman"/>
          <w:szCs w:val="21"/>
        </w:rPr>
        <w:t>___。各类别学分要求如下：</w:t>
      </w:r>
    </w:p>
    <w:p>
      <w:pPr>
        <w:ind w:firstLine="420" w:firstLineChars="200"/>
        <w:rPr>
          <w:rFonts w:ascii="Times New Roman" w:hAnsi="Times New Roman" w:cs="Times New Roman"/>
          <w:szCs w:val="21"/>
        </w:rPr>
      </w:pPr>
      <w:r>
        <w:rPr>
          <w:rFonts w:ascii="Times New Roman" w:hAnsi="Times New Roman" w:cs="Times New Roman"/>
          <w:szCs w:val="21"/>
        </w:rPr>
        <w:t>学位公共课（必修）6学分，学位公共课（选修）__2__学分，学位基础课__9__学分，学位专业课（必修）__</w:t>
      </w:r>
      <w:r>
        <w:rPr>
          <w:rFonts w:hint="eastAsia" w:ascii="Times New Roman" w:hAnsi="Times New Roman" w:cs="Times New Roman"/>
          <w:szCs w:val="21"/>
        </w:rPr>
        <w:t>6</w:t>
      </w:r>
      <w:r>
        <w:rPr>
          <w:rFonts w:ascii="Times New Roman" w:hAnsi="Times New Roman" w:cs="Times New Roman"/>
          <w:szCs w:val="21"/>
        </w:rPr>
        <w:t xml:space="preserve">__学分，学位专业课（选修）__4__学分，跨一级学科课程__2__学分。   </w:t>
      </w:r>
    </w:p>
    <w:p>
      <w:pPr>
        <w:ind w:firstLine="420" w:firstLineChars="200"/>
        <w:rPr>
          <w:rFonts w:ascii="Times New Roman" w:hAnsi="Times New Roman" w:cs="Times New Roman"/>
          <w:szCs w:val="21"/>
        </w:rPr>
      </w:pPr>
      <w:r>
        <w:rPr>
          <w:rFonts w:ascii="Times New Roman" w:hAnsi="Times New Roman" w:cs="Times New Roman"/>
          <w:szCs w:val="21"/>
        </w:rPr>
        <w:t>（2）补修课程要求：跨学科入学的研究生，应当在导师指导下补修本学科本科专业的有关课程，所得学分记为非学位课程学分，不计入培养方案总学分。</w:t>
      </w:r>
    </w:p>
    <w:p>
      <w:pPr>
        <w:ind w:firstLine="420" w:firstLineChars="200"/>
        <w:rPr>
          <w:rFonts w:ascii="Times New Roman" w:hAnsi="Times New Roman" w:cs="Times New Roman"/>
        </w:rPr>
      </w:pPr>
      <w:r>
        <w:rPr>
          <w:rFonts w:ascii="Times New Roman" w:hAnsi="Times New Roman" w:cs="Times New Roman"/>
          <w:szCs w:val="21"/>
        </w:rPr>
        <w:t>（3）</w:t>
      </w:r>
      <w:r>
        <w:rPr>
          <w:rFonts w:ascii="Times New Roman" w:hAnsi="Times New Roman" w:cs="Times New Roman"/>
        </w:rPr>
        <w:t>港澳台硕士生可免修思想政治理论课，代之以修读《中国概况》。</w:t>
      </w:r>
    </w:p>
    <w:p>
      <w:pPr>
        <w:ind w:firstLine="420" w:firstLineChars="200"/>
        <w:rPr>
          <w:rFonts w:ascii="Times New Roman" w:hAnsi="Times New Roman" w:cs="Times New Roman"/>
        </w:rPr>
      </w:pPr>
      <w:r>
        <w:rPr>
          <w:rFonts w:ascii="Times New Roman" w:hAnsi="Times New Roman" w:cs="Times New Roman"/>
          <w:szCs w:val="21"/>
        </w:rPr>
        <w:t>（4）国际留学硕士生可免修思想政治理论课、第一外国语，代之以修读《中国概况》或《中国文明导论》和汉语课</w:t>
      </w:r>
      <w:r>
        <w:rPr>
          <w:rFonts w:ascii="Times New Roman" w:hAnsi="Times New Roman" w:cs="Times New Roman"/>
        </w:rPr>
        <w:t>程等有关课程。以外语为专业教学语言的学科、专业的留学生毕业时，中文能力应当至少达到《国际汉语能力标准》三级水平。</w:t>
      </w:r>
    </w:p>
    <w:p>
      <w:pPr>
        <w:spacing w:before="156" w:beforeLines="50" w:after="156" w:afterLines="50"/>
        <w:ind w:firstLine="420" w:firstLineChars="200"/>
        <w:rPr>
          <w:rFonts w:ascii="Times New Roman" w:hAnsi="Times New Roman" w:cs="Times New Roman"/>
          <w:b/>
          <w:szCs w:val="21"/>
        </w:rPr>
      </w:pPr>
      <w:r>
        <w:rPr>
          <w:rFonts w:ascii="Times New Roman" w:hAnsi="Times New Roman" w:eastAsia="黑体" w:cs="Times New Roman"/>
        </w:rPr>
        <w:t>2.</w:t>
      </w:r>
      <w:r>
        <w:rPr>
          <w:rFonts w:ascii="Times New Roman" w:hAnsi="Times New Roman" w:eastAsia="黑体" w:cs="Times New Roman"/>
          <w:szCs w:val="21"/>
        </w:rPr>
        <w:t>课程体系</w:t>
      </w:r>
    </w:p>
    <w:tbl>
      <w:tblPr>
        <w:tblStyle w:val="13"/>
        <w:tblW w:w="0" w:type="auto"/>
        <w:jc w:val="center"/>
        <w:tblLayout w:type="autofit"/>
        <w:tblCellMar>
          <w:top w:w="0" w:type="dxa"/>
          <w:left w:w="108" w:type="dxa"/>
          <w:bottom w:w="0" w:type="dxa"/>
          <w:right w:w="108" w:type="dxa"/>
        </w:tblCellMar>
      </w:tblPr>
      <w:tblGrid>
        <w:gridCol w:w="838"/>
        <w:gridCol w:w="1701"/>
        <w:gridCol w:w="4204"/>
        <w:gridCol w:w="659"/>
        <w:gridCol w:w="699"/>
        <w:gridCol w:w="831"/>
      </w:tblGrid>
      <w:tr>
        <w:tblPrEx>
          <w:tblCellMar>
            <w:top w:w="0" w:type="dxa"/>
            <w:left w:w="108" w:type="dxa"/>
            <w:bottom w:w="0" w:type="dxa"/>
            <w:right w:w="108" w:type="dxa"/>
          </w:tblCellMar>
        </w:tblPrEx>
        <w:trPr>
          <w:jc w:val="center"/>
        </w:trPr>
        <w:tc>
          <w:tcPr>
            <w:tcW w:w="838" w:type="dxa"/>
            <w:tcBorders>
              <w:top w:val="single" w:color="auto" w:sz="4" w:space="0"/>
              <w:left w:val="single" w:color="auto" w:sz="4" w:space="0"/>
              <w:bottom w:val="single" w:color="auto" w:sz="6" w:space="0"/>
              <w:right w:val="single" w:color="auto" w:sz="6" w:space="0"/>
            </w:tcBorders>
            <w:vAlign w:val="center"/>
          </w:tcPr>
          <w:p>
            <w:pPr>
              <w:rPr>
                <w:rFonts w:ascii="Times New Roman" w:hAnsi="Times New Roman" w:cs="Times New Roman"/>
                <w:b/>
                <w:szCs w:val="21"/>
              </w:rPr>
            </w:pPr>
            <w:r>
              <w:rPr>
                <w:rFonts w:ascii="Times New Roman" w:hAnsi="Times New Roman" w:cs="Times New Roman"/>
                <w:b/>
                <w:szCs w:val="21"/>
              </w:rPr>
              <w:t>课程</w:t>
            </w:r>
          </w:p>
          <w:p>
            <w:pPr>
              <w:rPr>
                <w:rFonts w:ascii="Times New Roman" w:hAnsi="Times New Roman" w:cs="Times New Roman"/>
                <w:b/>
                <w:szCs w:val="21"/>
              </w:rPr>
            </w:pPr>
            <w:r>
              <w:rPr>
                <w:rFonts w:ascii="Times New Roman" w:hAnsi="Times New Roman" w:cs="Times New Roman"/>
                <w:b/>
                <w:szCs w:val="21"/>
              </w:rPr>
              <w:t>类别</w:t>
            </w:r>
          </w:p>
        </w:tc>
        <w:tc>
          <w:tcPr>
            <w:tcW w:w="1701" w:type="dxa"/>
            <w:tcBorders>
              <w:top w:val="single" w:color="auto" w:sz="4" w:space="0"/>
              <w:left w:val="single" w:color="auto" w:sz="6" w:space="0"/>
              <w:bottom w:val="single" w:color="auto" w:sz="6" w:space="0"/>
              <w:right w:val="single" w:color="auto" w:sz="6" w:space="0"/>
            </w:tcBorders>
          </w:tcPr>
          <w:p>
            <w:pPr>
              <w:jc w:val="center"/>
              <w:rPr>
                <w:rFonts w:ascii="Times New Roman" w:hAnsi="Times New Roman" w:cs="Times New Roman"/>
                <w:b/>
                <w:szCs w:val="21"/>
              </w:rPr>
            </w:pPr>
          </w:p>
          <w:p>
            <w:pPr>
              <w:jc w:val="center"/>
              <w:rPr>
                <w:rFonts w:ascii="Times New Roman" w:hAnsi="Times New Roman" w:cs="Times New Roman"/>
                <w:b/>
                <w:szCs w:val="21"/>
              </w:rPr>
            </w:pPr>
            <w:r>
              <w:rPr>
                <w:rFonts w:ascii="Times New Roman" w:hAnsi="Times New Roman" w:cs="Times New Roman"/>
                <w:b/>
                <w:szCs w:val="21"/>
              </w:rPr>
              <w:t>课程编号</w:t>
            </w:r>
          </w:p>
        </w:tc>
        <w:tc>
          <w:tcPr>
            <w:tcW w:w="4204" w:type="dxa"/>
            <w:tcBorders>
              <w:top w:val="single" w:color="auto" w:sz="4" w:space="0"/>
              <w:left w:val="single" w:color="auto" w:sz="6" w:space="0"/>
              <w:bottom w:val="single" w:color="auto" w:sz="6" w:space="0"/>
              <w:right w:val="single" w:color="auto" w:sz="6" w:space="0"/>
            </w:tcBorders>
            <w:vAlign w:val="center"/>
          </w:tcPr>
          <w:p>
            <w:pPr>
              <w:jc w:val="center"/>
              <w:rPr>
                <w:rFonts w:ascii="Times New Roman" w:hAnsi="Times New Roman" w:cs="Times New Roman"/>
                <w:b/>
                <w:szCs w:val="21"/>
              </w:rPr>
            </w:pPr>
          </w:p>
          <w:p>
            <w:pPr>
              <w:jc w:val="center"/>
              <w:rPr>
                <w:rFonts w:ascii="Times New Roman" w:hAnsi="Times New Roman" w:cs="Times New Roman"/>
                <w:b/>
                <w:szCs w:val="21"/>
              </w:rPr>
            </w:pPr>
            <w:r>
              <w:rPr>
                <w:rFonts w:ascii="Times New Roman" w:hAnsi="Times New Roman" w:cs="Times New Roman"/>
                <w:b/>
                <w:szCs w:val="21"/>
              </w:rPr>
              <w:t>课程中英文名称</w:t>
            </w:r>
          </w:p>
        </w:tc>
        <w:tc>
          <w:tcPr>
            <w:tcW w:w="659" w:type="dxa"/>
            <w:tcBorders>
              <w:top w:val="single" w:color="auto" w:sz="4" w:space="0"/>
              <w:left w:val="single" w:color="auto" w:sz="6" w:space="0"/>
              <w:bottom w:val="single" w:color="auto" w:sz="6" w:space="0"/>
              <w:right w:val="single" w:color="auto" w:sz="6" w:space="0"/>
            </w:tcBorders>
            <w:vAlign w:val="center"/>
          </w:tcPr>
          <w:p>
            <w:pPr>
              <w:jc w:val="center"/>
              <w:rPr>
                <w:rFonts w:ascii="Times New Roman" w:hAnsi="Times New Roman" w:cs="Times New Roman"/>
                <w:b/>
                <w:szCs w:val="21"/>
              </w:rPr>
            </w:pPr>
          </w:p>
          <w:p>
            <w:pPr>
              <w:jc w:val="center"/>
              <w:rPr>
                <w:rFonts w:ascii="Times New Roman" w:hAnsi="Times New Roman" w:cs="Times New Roman"/>
                <w:b/>
                <w:szCs w:val="21"/>
              </w:rPr>
            </w:pPr>
            <w:r>
              <w:rPr>
                <w:rFonts w:ascii="Times New Roman" w:hAnsi="Times New Roman" w:cs="Times New Roman"/>
                <w:b/>
                <w:szCs w:val="21"/>
              </w:rPr>
              <w:t>学分</w:t>
            </w:r>
          </w:p>
        </w:tc>
        <w:tc>
          <w:tcPr>
            <w:tcW w:w="699" w:type="dxa"/>
            <w:tcBorders>
              <w:top w:val="single" w:color="auto" w:sz="4" w:space="0"/>
              <w:left w:val="single" w:color="auto" w:sz="6" w:space="0"/>
              <w:bottom w:val="single" w:color="auto" w:sz="6" w:space="0"/>
              <w:right w:val="single" w:color="auto" w:sz="6" w:space="0"/>
            </w:tcBorders>
            <w:vAlign w:val="center"/>
          </w:tcPr>
          <w:p>
            <w:pPr>
              <w:jc w:val="center"/>
              <w:rPr>
                <w:rFonts w:ascii="Times New Roman" w:hAnsi="Times New Roman" w:cs="Times New Roman"/>
                <w:szCs w:val="21"/>
              </w:rPr>
            </w:pPr>
            <w:r>
              <w:rPr>
                <w:rFonts w:ascii="Times New Roman" w:hAnsi="Times New Roman" w:cs="Times New Roman"/>
                <w:b/>
                <w:szCs w:val="21"/>
              </w:rPr>
              <w:t>开课学期</w:t>
            </w:r>
          </w:p>
        </w:tc>
        <w:tc>
          <w:tcPr>
            <w:tcW w:w="831" w:type="dxa"/>
            <w:tcBorders>
              <w:top w:val="single" w:color="auto" w:sz="4" w:space="0"/>
              <w:left w:val="single" w:color="auto" w:sz="6" w:space="0"/>
              <w:bottom w:val="single" w:color="auto" w:sz="6" w:space="0"/>
              <w:right w:val="single" w:color="auto" w:sz="4" w:space="0"/>
            </w:tcBorders>
          </w:tcPr>
          <w:p>
            <w:pPr>
              <w:jc w:val="center"/>
              <w:rPr>
                <w:rFonts w:ascii="Times New Roman" w:hAnsi="Times New Roman" w:cs="Times New Roman"/>
                <w:b/>
                <w:szCs w:val="21"/>
              </w:rPr>
            </w:pPr>
            <w:r>
              <w:rPr>
                <w:rFonts w:ascii="Times New Roman" w:hAnsi="Times New Roman" w:cs="Times New Roman"/>
                <w:b/>
                <w:szCs w:val="21"/>
              </w:rPr>
              <w:t>修读要求</w:t>
            </w:r>
          </w:p>
        </w:tc>
      </w:tr>
      <w:tr>
        <w:tblPrEx>
          <w:tblCellMar>
            <w:top w:w="0" w:type="dxa"/>
            <w:left w:w="108" w:type="dxa"/>
            <w:bottom w:w="0" w:type="dxa"/>
            <w:right w:w="108" w:type="dxa"/>
          </w:tblCellMar>
        </w:tblPrEx>
        <w:trPr>
          <w:jc w:val="center"/>
        </w:trPr>
        <w:tc>
          <w:tcPr>
            <w:tcW w:w="838" w:type="dxa"/>
            <w:vMerge w:val="restart"/>
            <w:tcBorders>
              <w:top w:val="single" w:color="auto" w:sz="4" w:space="0"/>
              <w:left w:val="single" w:color="auto" w:sz="4" w:space="0"/>
              <w:right w:val="single" w:color="auto" w:sz="6" w:space="0"/>
            </w:tcBorders>
            <w:vAlign w:val="center"/>
          </w:tcPr>
          <w:p>
            <w:pPr>
              <w:jc w:val="center"/>
              <w:rPr>
                <w:rFonts w:ascii="Times New Roman" w:hAnsi="Times New Roman" w:cs="Times New Roman"/>
                <w:b/>
                <w:szCs w:val="21"/>
              </w:rPr>
            </w:pPr>
            <w:r>
              <w:rPr>
                <w:rFonts w:ascii="Times New Roman" w:hAnsi="Times New Roman" w:cs="Times New Roman"/>
                <w:b/>
                <w:szCs w:val="21"/>
              </w:rPr>
              <w:t>学位公共课</w:t>
            </w:r>
          </w:p>
        </w:tc>
        <w:tc>
          <w:tcPr>
            <w:tcW w:w="1701" w:type="dxa"/>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cs="Times New Roman"/>
                <w:sz w:val="18"/>
                <w:szCs w:val="18"/>
              </w:rPr>
            </w:pPr>
            <w:r>
              <w:rPr>
                <w:rFonts w:ascii="Times New Roman" w:hAnsi="Times New Roman" w:cs="Times New Roman"/>
                <w:sz w:val="18"/>
                <w:szCs w:val="18"/>
              </w:rPr>
              <w:t>TYKC0611101006</w:t>
            </w:r>
          </w:p>
        </w:tc>
        <w:tc>
          <w:tcPr>
            <w:tcW w:w="4204" w:type="dxa"/>
            <w:tcBorders>
              <w:top w:val="single" w:color="auto" w:sz="6" w:space="0"/>
              <w:left w:val="single" w:color="auto" w:sz="6" w:space="0"/>
              <w:bottom w:val="single" w:color="auto" w:sz="6" w:space="0"/>
              <w:right w:val="single" w:color="auto" w:sz="6" w:space="0"/>
            </w:tcBorders>
            <w:vAlign w:val="center"/>
          </w:tcPr>
          <w:p>
            <w:pPr>
              <w:spacing w:line="260" w:lineRule="exact"/>
              <w:rPr>
                <w:rFonts w:ascii="Times New Roman" w:hAnsi="Times New Roman" w:cs="Times New Roman"/>
                <w:sz w:val="18"/>
                <w:szCs w:val="18"/>
              </w:rPr>
            </w:pPr>
            <w:r>
              <w:rPr>
                <w:rFonts w:ascii="Times New Roman" w:hAnsi="Times New Roman" w:cs="Times New Roman"/>
                <w:sz w:val="18"/>
                <w:szCs w:val="18"/>
              </w:rPr>
              <w:t>新时代中国特色社会主义理论与实践</w:t>
            </w:r>
          </w:p>
          <w:p>
            <w:pPr>
              <w:spacing w:line="260" w:lineRule="exact"/>
              <w:rPr>
                <w:rFonts w:ascii="Times New Roman" w:hAnsi="Times New Roman" w:cs="Times New Roman"/>
                <w:sz w:val="18"/>
                <w:szCs w:val="18"/>
              </w:rPr>
            </w:pPr>
            <w:r>
              <w:rPr>
                <w:rFonts w:ascii="Times New Roman" w:hAnsi="Times New Roman" w:cs="Times New Roman"/>
                <w:sz w:val="18"/>
                <w:szCs w:val="18"/>
              </w:rPr>
              <w:t xml:space="preserve">Theory and Practice of Socialism with Chinese </w:t>
            </w:r>
            <w:ins w:id="0" w:author="Lenovo" w:date="2021-08-25T21:42:47Z">
              <w:r>
                <w:rPr>
                  <w:rFonts w:hint="eastAsia" w:ascii="Times New Roman" w:hAnsi="Times New Roman" w:cs="Times New Roman"/>
                  <w:sz w:val="18"/>
                  <w:szCs w:val="18"/>
                  <w:lang w:val="en-US" w:eastAsia="zh-CN"/>
                </w:rPr>
                <w:t>C</w:t>
              </w:r>
            </w:ins>
            <w:del w:id="1" w:author="Lenovo" w:date="2021-08-25T21:42:46Z">
              <w:r>
                <w:rPr>
                  <w:rFonts w:ascii="Times New Roman" w:hAnsi="Times New Roman" w:cs="Times New Roman"/>
                  <w:sz w:val="18"/>
                  <w:szCs w:val="18"/>
                </w:rPr>
                <w:delText>c</w:delText>
              </w:r>
            </w:del>
            <w:r>
              <w:rPr>
                <w:rFonts w:ascii="Times New Roman" w:hAnsi="Times New Roman" w:cs="Times New Roman"/>
                <w:sz w:val="18"/>
                <w:szCs w:val="18"/>
              </w:rPr>
              <w:t xml:space="preserve">haracteristics in the </w:t>
            </w:r>
            <w:ins w:id="2" w:author="Lenovo" w:date="2021-08-25T21:42:51Z">
              <w:r>
                <w:rPr>
                  <w:rFonts w:hint="eastAsia" w:ascii="Times New Roman" w:hAnsi="Times New Roman" w:cs="Times New Roman"/>
                  <w:sz w:val="18"/>
                  <w:szCs w:val="18"/>
                  <w:lang w:val="en-US" w:eastAsia="zh-CN"/>
                </w:rPr>
                <w:t>N</w:t>
              </w:r>
            </w:ins>
            <w:del w:id="3" w:author="Lenovo" w:date="2021-08-25T21:42:50Z">
              <w:r>
                <w:rPr>
                  <w:rFonts w:ascii="Times New Roman" w:hAnsi="Times New Roman" w:cs="Times New Roman"/>
                  <w:sz w:val="18"/>
                  <w:szCs w:val="18"/>
                </w:rPr>
                <w:delText>n</w:delText>
              </w:r>
            </w:del>
            <w:r>
              <w:rPr>
                <w:rFonts w:ascii="Times New Roman" w:hAnsi="Times New Roman" w:cs="Times New Roman"/>
                <w:sz w:val="18"/>
                <w:szCs w:val="18"/>
              </w:rPr>
              <w:t xml:space="preserve">ew </w:t>
            </w:r>
            <w:ins w:id="4" w:author="Lenovo" w:date="2021-08-25T21:42:54Z">
              <w:r>
                <w:rPr>
                  <w:rFonts w:hint="eastAsia" w:ascii="Times New Roman" w:hAnsi="Times New Roman" w:cs="Times New Roman"/>
                  <w:sz w:val="18"/>
                  <w:szCs w:val="18"/>
                  <w:lang w:val="en-US" w:eastAsia="zh-CN"/>
                </w:rPr>
                <w:t>E</w:t>
              </w:r>
            </w:ins>
            <w:del w:id="5" w:author="Lenovo" w:date="2021-08-25T21:42:53Z">
              <w:bookmarkStart w:id="0" w:name="_GoBack"/>
              <w:bookmarkEnd w:id="0"/>
              <w:r>
                <w:rPr>
                  <w:rFonts w:ascii="Times New Roman" w:hAnsi="Times New Roman" w:cs="Times New Roman"/>
                  <w:sz w:val="18"/>
                  <w:szCs w:val="18"/>
                </w:rPr>
                <w:delText>e</w:delText>
              </w:r>
            </w:del>
            <w:r>
              <w:rPr>
                <w:rFonts w:ascii="Times New Roman" w:hAnsi="Times New Roman" w:cs="Times New Roman"/>
                <w:sz w:val="18"/>
                <w:szCs w:val="18"/>
              </w:rPr>
              <w:t xml:space="preserve">ra </w:t>
            </w:r>
          </w:p>
        </w:tc>
        <w:tc>
          <w:tcPr>
            <w:tcW w:w="659"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2</w:t>
            </w:r>
          </w:p>
        </w:tc>
        <w:tc>
          <w:tcPr>
            <w:tcW w:w="699"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秋</w:t>
            </w:r>
          </w:p>
        </w:tc>
        <w:tc>
          <w:tcPr>
            <w:tcW w:w="831" w:type="dxa"/>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必选</w:t>
            </w:r>
          </w:p>
        </w:tc>
      </w:tr>
      <w:tr>
        <w:tblPrEx>
          <w:tblCellMar>
            <w:top w:w="0" w:type="dxa"/>
            <w:left w:w="108" w:type="dxa"/>
            <w:bottom w:w="0" w:type="dxa"/>
            <w:right w:w="108" w:type="dxa"/>
          </w:tblCellMar>
        </w:tblPrEx>
        <w:trPr>
          <w:jc w:val="center"/>
        </w:trPr>
        <w:tc>
          <w:tcPr>
            <w:tcW w:w="838" w:type="dxa"/>
            <w:vMerge w:val="continue"/>
            <w:tcBorders>
              <w:left w:val="single" w:color="auto" w:sz="4" w:space="0"/>
              <w:right w:val="single" w:color="auto" w:sz="6" w:space="0"/>
            </w:tcBorders>
            <w:vAlign w:val="center"/>
          </w:tcPr>
          <w:p>
            <w:pPr>
              <w:jc w:val="center"/>
              <w:rPr>
                <w:rFonts w:ascii="Times New Roman" w:hAnsi="Times New Roman" w:cs="Times New Roman"/>
                <w:szCs w:val="21"/>
              </w:rPr>
            </w:pPr>
          </w:p>
        </w:tc>
        <w:tc>
          <w:tcPr>
            <w:tcW w:w="1701" w:type="dxa"/>
            <w:tcBorders>
              <w:left w:val="single" w:color="auto" w:sz="6" w:space="0"/>
              <w:bottom w:val="single" w:color="auto" w:sz="6" w:space="0"/>
              <w:right w:val="single" w:color="auto" w:sz="6" w:space="0"/>
            </w:tcBorders>
            <w:vAlign w:val="center"/>
          </w:tcPr>
          <w:p>
            <w:pPr>
              <w:rPr>
                <w:rFonts w:ascii="Times New Roman" w:hAnsi="Times New Roman" w:cs="Times New Roman"/>
                <w:sz w:val="18"/>
                <w:szCs w:val="18"/>
              </w:rPr>
            </w:pPr>
            <w:r>
              <w:rPr>
                <w:rFonts w:ascii="Times New Roman" w:hAnsi="Times New Roman" w:cs="Times New Roman"/>
                <w:sz w:val="18"/>
                <w:szCs w:val="18"/>
              </w:rPr>
              <w:t>TYKC0611101001</w:t>
            </w:r>
          </w:p>
        </w:tc>
        <w:tc>
          <w:tcPr>
            <w:tcW w:w="4204" w:type="dxa"/>
            <w:tcBorders>
              <w:top w:val="single" w:color="auto" w:sz="6" w:space="0"/>
              <w:left w:val="single" w:color="auto" w:sz="6" w:space="0"/>
              <w:bottom w:val="single" w:color="auto" w:sz="6" w:space="0"/>
              <w:right w:val="single" w:color="auto" w:sz="6" w:space="0"/>
            </w:tcBorders>
            <w:vAlign w:val="center"/>
          </w:tcPr>
          <w:p>
            <w:pPr>
              <w:spacing w:line="260" w:lineRule="exact"/>
              <w:rPr>
                <w:rFonts w:ascii="Times New Roman" w:hAnsi="Times New Roman" w:cs="Times New Roman"/>
                <w:sz w:val="18"/>
                <w:szCs w:val="18"/>
              </w:rPr>
            </w:pPr>
            <w:r>
              <w:rPr>
                <w:rFonts w:ascii="Times New Roman" w:hAnsi="Times New Roman" w:cs="Times New Roman"/>
                <w:sz w:val="18"/>
                <w:szCs w:val="18"/>
              </w:rPr>
              <w:t>马克思主义与社会科学方法论</w:t>
            </w:r>
          </w:p>
          <w:p>
            <w:pPr>
              <w:spacing w:line="260" w:lineRule="exact"/>
              <w:rPr>
                <w:rFonts w:ascii="Times New Roman" w:hAnsi="Times New Roman" w:cs="Times New Roman"/>
                <w:sz w:val="18"/>
                <w:szCs w:val="18"/>
              </w:rPr>
            </w:pPr>
            <w:r>
              <w:rPr>
                <w:rFonts w:ascii="Times New Roman" w:hAnsi="Times New Roman" w:cs="Times New Roman"/>
                <w:sz w:val="18"/>
                <w:szCs w:val="18"/>
              </w:rPr>
              <w:t>Marxism and Methodology of Social Science</w:t>
            </w:r>
          </w:p>
        </w:tc>
        <w:tc>
          <w:tcPr>
            <w:tcW w:w="659"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1</w:t>
            </w:r>
          </w:p>
        </w:tc>
        <w:tc>
          <w:tcPr>
            <w:tcW w:w="699"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秋</w:t>
            </w:r>
          </w:p>
        </w:tc>
        <w:tc>
          <w:tcPr>
            <w:tcW w:w="831" w:type="dxa"/>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必选</w:t>
            </w:r>
          </w:p>
        </w:tc>
      </w:tr>
      <w:tr>
        <w:tblPrEx>
          <w:tblCellMar>
            <w:top w:w="0" w:type="dxa"/>
            <w:left w:w="108" w:type="dxa"/>
            <w:bottom w:w="0" w:type="dxa"/>
            <w:right w:w="108" w:type="dxa"/>
          </w:tblCellMar>
        </w:tblPrEx>
        <w:trPr>
          <w:jc w:val="center"/>
        </w:trPr>
        <w:tc>
          <w:tcPr>
            <w:tcW w:w="838" w:type="dxa"/>
            <w:vMerge w:val="continue"/>
            <w:tcBorders>
              <w:left w:val="single" w:color="auto" w:sz="4" w:space="0"/>
              <w:right w:val="single" w:color="auto" w:sz="6" w:space="0"/>
            </w:tcBorders>
            <w:vAlign w:val="center"/>
          </w:tcPr>
          <w:p>
            <w:pPr>
              <w:jc w:val="center"/>
              <w:rPr>
                <w:rFonts w:ascii="Times New Roman" w:hAnsi="Times New Roman" w:cs="Times New Roman"/>
                <w:szCs w:val="21"/>
              </w:rPr>
            </w:pPr>
          </w:p>
        </w:tc>
        <w:tc>
          <w:tcPr>
            <w:tcW w:w="1701" w:type="dxa"/>
            <w:tcBorders>
              <w:top w:val="single" w:color="auto" w:sz="4" w:space="0"/>
              <w:left w:val="single" w:color="auto" w:sz="6" w:space="0"/>
              <w:bottom w:val="single" w:color="auto" w:sz="4" w:space="0"/>
              <w:right w:val="single" w:color="auto" w:sz="6" w:space="0"/>
            </w:tcBorders>
            <w:vAlign w:val="center"/>
          </w:tcPr>
          <w:p>
            <w:pPr>
              <w:rPr>
                <w:rFonts w:ascii="Times New Roman" w:hAnsi="Times New Roman" w:cs="Times New Roman"/>
                <w:sz w:val="18"/>
                <w:szCs w:val="18"/>
              </w:rPr>
            </w:pPr>
          </w:p>
        </w:tc>
        <w:tc>
          <w:tcPr>
            <w:tcW w:w="4204" w:type="dxa"/>
            <w:tcBorders>
              <w:top w:val="single" w:color="auto" w:sz="4" w:space="0"/>
              <w:left w:val="single" w:color="auto" w:sz="6" w:space="0"/>
              <w:bottom w:val="single" w:color="auto" w:sz="4" w:space="0"/>
              <w:right w:val="single" w:color="auto" w:sz="6" w:space="0"/>
            </w:tcBorders>
            <w:vAlign w:val="center"/>
          </w:tcPr>
          <w:p>
            <w:pPr>
              <w:spacing w:line="260" w:lineRule="exact"/>
              <w:rPr>
                <w:rFonts w:ascii="Times New Roman" w:hAnsi="Times New Roman" w:cs="Times New Roman"/>
                <w:sz w:val="18"/>
                <w:szCs w:val="18"/>
              </w:rPr>
            </w:pPr>
            <w:r>
              <w:rPr>
                <w:rFonts w:ascii="Times New Roman" w:hAnsi="Times New Roman" w:cs="Times New Roman"/>
                <w:sz w:val="18"/>
                <w:szCs w:val="18"/>
              </w:rPr>
              <w:t>外国语</w:t>
            </w:r>
          </w:p>
          <w:p>
            <w:pPr>
              <w:spacing w:line="260" w:lineRule="exact"/>
              <w:rPr>
                <w:rFonts w:ascii="Times New Roman" w:hAnsi="Times New Roman" w:cs="Times New Roman"/>
                <w:sz w:val="18"/>
                <w:szCs w:val="18"/>
              </w:rPr>
            </w:pPr>
            <w:r>
              <w:rPr>
                <w:rFonts w:ascii="Times New Roman" w:hAnsi="Times New Roman" w:cs="Times New Roman"/>
                <w:sz w:val="18"/>
                <w:szCs w:val="18"/>
              </w:rPr>
              <w:t>English</w:t>
            </w:r>
          </w:p>
        </w:tc>
        <w:tc>
          <w:tcPr>
            <w:tcW w:w="659" w:type="dxa"/>
            <w:tcBorders>
              <w:top w:val="single" w:color="auto" w:sz="4" w:space="0"/>
              <w:left w:val="single" w:color="auto" w:sz="6" w:space="0"/>
              <w:bottom w:val="single" w:color="auto" w:sz="4" w:space="0"/>
              <w:right w:val="single" w:color="auto" w:sz="6"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2</w:t>
            </w:r>
          </w:p>
        </w:tc>
        <w:tc>
          <w:tcPr>
            <w:tcW w:w="699" w:type="dxa"/>
            <w:tcBorders>
              <w:top w:val="single" w:color="auto" w:sz="4" w:space="0"/>
              <w:left w:val="single" w:color="auto" w:sz="6" w:space="0"/>
              <w:bottom w:val="single" w:color="auto" w:sz="4" w:space="0"/>
              <w:right w:val="single" w:color="auto" w:sz="6"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春/秋</w:t>
            </w:r>
          </w:p>
        </w:tc>
        <w:tc>
          <w:tcPr>
            <w:tcW w:w="831" w:type="dxa"/>
            <w:tcBorders>
              <w:top w:val="single" w:color="auto" w:sz="4" w:space="0"/>
              <w:left w:val="single" w:color="auto" w:sz="6"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必选</w:t>
            </w:r>
          </w:p>
        </w:tc>
      </w:tr>
      <w:tr>
        <w:tblPrEx>
          <w:tblCellMar>
            <w:top w:w="0" w:type="dxa"/>
            <w:left w:w="108" w:type="dxa"/>
            <w:bottom w:w="0" w:type="dxa"/>
            <w:right w:w="108" w:type="dxa"/>
          </w:tblCellMar>
        </w:tblPrEx>
        <w:trPr>
          <w:jc w:val="center"/>
        </w:trPr>
        <w:tc>
          <w:tcPr>
            <w:tcW w:w="838" w:type="dxa"/>
            <w:vMerge w:val="continue"/>
            <w:tcBorders>
              <w:left w:val="single" w:color="auto" w:sz="4" w:space="0"/>
              <w:right w:val="single" w:color="auto" w:sz="6" w:space="0"/>
            </w:tcBorders>
            <w:vAlign w:val="center"/>
          </w:tcPr>
          <w:p>
            <w:pPr>
              <w:jc w:val="center"/>
              <w:rPr>
                <w:rFonts w:ascii="Times New Roman" w:hAnsi="Times New Roman" w:cs="Times New Roman"/>
                <w:szCs w:val="21"/>
              </w:rPr>
            </w:pPr>
          </w:p>
        </w:tc>
        <w:tc>
          <w:tcPr>
            <w:tcW w:w="1701" w:type="dxa"/>
            <w:tcBorders>
              <w:top w:val="single" w:color="auto" w:sz="4" w:space="0"/>
              <w:left w:val="single" w:color="auto" w:sz="6" w:space="0"/>
              <w:bottom w:val="single" w:color="auto" w:sz="6" w:space="0"/>
              <w:right w:val="single" w:color="auto" w:sz="6" w:space="0"/>
            </w:tcBorders>
            <w:vAlign w:val="center"/>
          </w:tcPr>
          <w:p>
            <w:pPr>
              <w:rPr>
                <w:rFonts w:ascii="Times New Roman" w:hAnsi="Times New Roman" w:cs="Times New Roman"/>
                <w:sz w:val="18"/>
                <w:szCs w:val="18"/>
              </w:rPr>
            </w:pPr>
          </w:p>
        </w:tc>
        <w:tc>
          <w:tcPr>
            <w:tcW w:w="4204" w:type="dxa"/>
            <w:tcBorders>
              <w:top w:val="single" w:color="auto" w:sz="4" w:space="0"/>
              <w:left w:val="single" w:color="auto" w:sz="6" w:space="0"/>
              <w:bottom w:val="single" w:color="auto" w:sz="6" w:space="0"/>
              <w:right w:val="single" w:color="auto" w:sz="6" w:space="0"/>
            </w:tcBorders>
            <w:vAlign w:val="center"/>
          </w:tcPr>
          <w:p>
            <w:pPr>
              <w:spacing w:line="260" w:lineRule="exact"/>
              <w:rPr>
                <w:rFonts w:ascii="Times New Roman" w:hAnsi="Times New Roman" w:cs="Times New Roman"/>
                <w:sz w:val="18"/>
                <w:szCs w:val="18"/>
              </w:rPr>
            </w:pPr>
            <w:r>
              <w:rPr>
                <w:rFonts w:ascii="Times New Roman" w:hAnsi="Times New Roman" w:cs="Times New Roman"/>
                <w:sz w:val="18"/>
                <w:szCs w:val="18"/>
              </w:rPr>
              <w:t>研究伦理与学术规范类课程</w:t>
            </w:r>
          </w:p>
          <w:p>
            <w:pPr>
              <w:spacing w:line="260" w:lineRule="exact"/>
              <w:rPr>
                <w:rFonts w:ascii="Times New Roman" w:hAnsi="Times New Roman" w:cs="Times New Roman"/>
                <w:sz w:val="18"/>
                <w:szCs w:val="18"/>
              </w:rPr>
            </w:pPr>
            <w:r>
              <w:rPr>
                <w:rFonts w:ascii="Times New Roman" w:hAnsi="Times New Roman" w:cs="Times New Roman"/>
                <w:sz w:val="18"/>
                <w:szCs w:val="18"/>
              </w:rPr>
              <w:t>Discipline and Ethics in Academic Research</w:t>
            </w:r>
          </w:p>
        </w:tc>
        <w:tc>
          <w:tcPr>
            <w:tcW w:w="659" w:type="dxa"/>
            <w:tcBorders>
              <w:top w:val="single" w:color="auto" w:sz="4" w:space="0"/>
              <w:left w:val="single" w:color="auto" w:sz="6" w:space="0"/>
              <w:bottom w:val="single" w:color="auto" w:sz="6" w:space="0"/>
              <w:right w:val="single" w:color="auto" w:sz="6"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1</w:t>
            </w:r>
          </w:p>
        </w:tc>
        <w:tc>
          <w:tcPr>
            <w:tcW w:w="699" w:type="dxa"/>
            <w:tcBorders>
              <w:top w:val="single" w:color="auto" w:sz="4" w:space="0"/>
              <w:left w:val="single" w:color="auto" w:sz="6" w:space="0"/>
              <w:bottom w:val="single" w:color="auto" w:sz="6" w:space="0"/>
              <w:right w:val="single" w:color="auto" w:sz="6" w:space="0"/>
            </w:tcBorders>
            <w:vAlign w:val="center"/>
          </w:tcPr>
          <w:p>
            <w:pPr>
              <w:jc w:val="center"/>
              <w:rPr>
                <w:rFonts w:ascii="Times New Roman" w:hAnsi="Times New Roman" w:cs="Times New Roman"/>
                <w:sz w:val="18"/>
                <w:szCs w:val="18"/>
              </w:rPr>
            </w:pPr>
          </w:p>
        </w:tc>
        <w:tc>
          <w:tcPr>
            <w:tcW w:w="831" w:type="dxa"/>
            <w:tcBorders>
              <w:top w:val="single" w:color="auto" w:sz="4" w:space="0"/>
              <w:left w:val="single" w:color="auto" w:sz="6" w:space="0"/>
              <w:bottom w:val="single" w:color="auto" w:sz="6"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必选</w:t>
            </w:r>
          </w:p>
        </w:tc>
      </w:tr>
      <w:tr>
        <w:tblPrEx>
          <w:tblCellMar>
            <w:top w:w="0" w:type="dxa"/>
            <w:left w:w="108" w:type="dxa"/>
            <w:bottom w:w="0" w:type="dxa"/>
            <w:right w:w="108" w:type="dxa"/>
          </w:tblCellMar>
        </w:tblPrEx>
        <w:trPr>
          <w:trHeight w:val="524" w:hRule="atLeast"/>
          <w:jc w:val="center"/>
        </w:trPr>
        <w:tc>
          <w:tcPr>
            <w:tcW w:w="838" w:type="dxa"/>
            <w:vMerge w:val="continue"/>
            <w:tcBorders>
              <w:left w:val="single" w:color="auto" w:sz="4" w:space="0"/>
              <w:right w:val="single" w:color="auto" w:sz="6" w:space="0"/>
            </w:tcBorders>
            <w:vAlign w:val="center"/>
          </w:tcPr>
          <w:p>
            <w:pPr>
              <w:jc w:val="center"/>
              <w:rPr>
                <w:rFonts w:ascii="Times New Roman" w:hAnsi="Times New Roman" w:cs="Times New Roman"/>
                <w:szCs w:val="21"/>
              </w:rPr>
            </w:pPr>
          </w:p>
        </w:tc>
        <w:tc>
          <w:tcPr>
            <w:tcW w:w="1701" w:type="dxa"/>
            <w:tcBorders>
              <w:left w:val="single" w:color="auto" w:sz="6" w:space="0"/>
              <w:bottom w:val="single" w:color="auto" w:sz="6" w:space="0"/>
              <w:right w:val="single" w:color="auto" w:sz="6" w:space="0"/>
            </w:tcBorders>
            <w:vAlign w:val="center"/>
          </w:tcPr>
          <w:p>
            <w:pPr>
              <w:rPr>
                <w:rFonts w:ascii="Times New Roman" w:hAnsi="Times New Roman" w:cs="Times New Roman"/>
                <w:sz w:val="18"/>
                <w:szCs w:val="18"/>
              </w:rPr>
            </w:pPr>
          </w:p>
        </w:tc>
        <w:tc>
          <w:tcPr>
            <w:tcW w:w="4204" w:type="dxa"/>
            <w:tcBorders>
              <w:top w:val="single" w:color="auto" w:sz="6" w:space="0"/>
              <w:left w:val="single" w:color="auto" w:sz="6" w:space="0"/>
              <w:bottom w:val="single" w:color="auto" w:sz="6" w:space="0"/>
              <w:right w:val="single" w:color="auto" w:sz="6" w:space="0"/>
            </w:tcBorders>
            <w:vAlign w:val="center"/>
          </w:tcPr>
          <w:p>
            <w:pPr>
              <w:spacing w:line="260" w:lineRule="exact"/>
              <w:rPr>
                <w:rFonts w:ascii="Times New Roman" w:hAnsi="Times New Roman" w:cs="Times New Roman"/>
                <w:sz w:val="18"/>
                <w:szCs w:val="18"/>
              </w:rPr>
            </w:pPr>
            <w:r>
              <w:rPr>
                <w:rFonts w:ascii="Times New Roman" w:hAnsi="Times New Roman" w:cs="Times New Roman"/>
                <w:sz w:val="18"/>
                <w:szCs w:val="18"/>
              </w:rPr>
              <w:t>通识选修类课程</w:t>
            </w:r>
          </w:p>
        </w:tc>
        <w:tc>
          <w:tcPr>
            <w:tcW w:w="659"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2</w:t>
            </w:r>
          </w:p>
        </w:tc>
        <w:tc>
          <w:tcPr>
            <w:tcW w:w="699"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sz w:val="18"/>
                <w:szCs w:val="18"/>
              </w:rPr>
            </w:pPr>
          </w:p>
        </w:tc>
        <w:tc>
          <w:tcPr>
            <w:tcW w:w="831" w:type="dxa"/>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必选</w:t>
            </w:r>
          </w:p>
        </w:tc>
      </w:tr>
      <w:tr>
        <w:tblPrEx>
          <w:tblCellMar>
            <w:top w:w="0" w:type="dxa"/>
            <w:left w:w="108" w:type="dxa"/>
            <w:bottom w:w="0" w:type="dxa"/>
            <w:right w:w="108" w:type="dxa"/>
          </w:tblCellMar>
        </w:tblPrEx>
        <w:trPr>
          <w:trHeight w:val="524" w:hRule="atLeast"/>
          <w:jc w:val="center"/>
        </w:trPr>
        <w:tc>
          <w:tcPr>
            <w:tcW w:w="838" w:type="dxa"/>
            <w:vMerge w:val="continue"/>
            <w:tcBorders>
              <w:left w:val="single" w:color="auto" w:sz="4" w:space="0"/>
              <w:bottom w:val="single" w:color="auto" w:sz="4" w:space="0"/>
              <w:right w:val="single" w:color="auto" w:sz="6" w:space="0"/>
            </w:tcBorders>
            <w:vAlign w:val="center"/>
          </w:tcPr>
          <w:p>
            <w:pPr>
              <w:jc w:val="center"/>
              <w:rPr>
                <w:rFonts w:ascii="Times New Roman" w:hAnsi="Times New Roman" w:cs="Times New Roman"/>
                <w:szCs w:val="21"/>
              </w:rPr>
            </w:pPr>
          </w:p>
        </w:tc>
        <w:tc>
          <w:tcPr>
            <w:tcW w:w="8094" w:type="dxa"/>
            <w:gridSpan w:val="5"/>
            <w:tcBorders>
              <w:left w:val="single" w:color="auto" w:sz="6" w:space="0"/>
              <w:bottom w:val="single" w:color="auto" w:sz="6"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b/>
                <w:sz w:val="18"/>
                <w:szCs w:val="18"/>
              </w:rPr>
              <w:t>学分要求</w:t>
            </w:r>
            <w:r>
              <w:rPr>
                <w:rFonts w:ascii="Times New Roman" w:hAnsi="Times New Roman" w:cs="Times New Roman"/>
                <w:sz w:val="18"/>
                <w:szCs w:val="18"/>
              </w:rPr>
              <w:t>：≥8 学分</w:t>
            </w:r>
          </w:p>
        </w:tc>
      </w:tr>
      <w:tr>
        <w:tblPrEx>
          <w:tblCellMar>
            <w:top w:w="0" w:type="dxa"/>
            <w:left w:w="108" w:type="dxa"/>
            <w:bottom w:w="0" w:type="dxa"/>
            <w:right w:w="108" w:type="dxa"/>
          </w:tblCellMar>
        </w:tblPrEx>
        <w:trPr>
          <w:jc w:val="center"/>
        </w:trPr>
        <w:tc>
          <w:tcPr>
            <w:tcW w:w="838" w:type="dxa"/>
            <w:vMerge w:val="restart"/>
            <w:tcBorders>
              <w:top w:val="single" w:color="auto" w:sz="4" w:space="0"/>
              <w:left w:val="single" w:color="auto" w:sz="4" w:space="0"/>
              <w:right w:val="single" w:color="auto" w:sz="6" w:space="0"/>
            </w:tcBorders>
            <w:vAlign w:val="center"/>
          </w:tcPr>
          <w:p>
            <w:pPr>
              <w:jc w:val="center"/>
              <w:rPr>
                <w:rFonts w:ascii="Times New Roman" w:hAnsi="Times New Roman" w:cs="Times New Roman"/>
                <w:b/>
                <w:szCs w:val="21"/>
              </w:rPr>
            </w:pPr>
            <w:r>
              <w:rPr>
                <w:rFonts w:ascii="Times New Roman" w:hAnsi="Times New Roman" w:cs="Times New Roman"/>
                <w:b/>
                <w:szCs w:val="21"/>
              </w:rPr>
              <w:t>学位</w:t>
            </w:r>
          </w:p>
          <w:p>
            <w:pPr>
              <w:jc w:val="center"/>
              <w:rPr>
                <w:rFonts w:ascii="Times New Roman" w:hAnsi="Times New Roman" w:cs="Times New Roman"/>
                <w:szCs w:val="21"/>
              </w:rPr>
            </w:pPr>
            <w:r>
              <w:rPr>
                <w:rFonts w:ascii="Times New Roman" w:hAnsi="Times New Roman" w:cs="Times New Roman"/>
                <w:b/>
                <w:szCs w:val="21"/>
              </w:rPr>
              <w:t>基础课</w:t>
            </w:r>
          </w:p>
        </w:tc>
        <w:tc>
          <w:tcPr>
            <w:tcW w:w="1701" w:type="dxa"/>
            <w:tcBorders>
              <w:top w:val="single" w:color="auto" w:sz="6" w:space="0"/>
              <w:left w:val="single" w:color="auto" w:sz="6" w:space="0"/>
              <w:bottom w:val="single" w:color="auto" w:sz="4" w:space="0"/>
              <w:right w:val="single" w:color="auto" w:sz="6" w:space="0"/>
            </w:tcBorders>
            <w:shd w:val="clear" w:color="auto" w:fill="FFFFFF" w:themeFill="background1"/>
            <w:vAlign w:val="center"/>
          </w:tcPr>
          <w:p>
            <w:pPr>
              <w:rPr>
                <w:rFonts w:ascii="Times New Roman" w:hAnsi="Times New Roman" w:cs="Times New Roman"/>
                <w:sz w:val="18"/>
                <w:szCs w:val="18"/>
              </w:rPr>
            </w:pPr>
            <w:r>
              <w:rPr>
                <w:rFonts w:ascii="Times New Roman" w:hAnsi="Times New Roman" w:cs="Times New Roman"/>
                <w:sz w:val="18"/>
                <w:szCs w:val="18"/>
              </w:rPr>
              <w:t>AECO5611102018</w:t>
            </w:r>
          </w:p>
        </w:tc>
        <w:tc>
          <w:tcPr>
            <w:tcW w:w="4204" w:type="dxa"/>
            <w:tcBorders>
              <w:top w:val="single" w:color="auto" w:sz="6" w:space="0"/>
              <w:left w:val="single" w:color="auto" w:sz="6" w:space="0"/>
              <w:bottom w:val="single" w:color="auto" w:sz="4" w:space="0"/>
              <w:right w:val="single" w:color="auto" w:sz="6" w:space="0"/>
            </w:tcBorders>
            <w:shd w:val="clear" w:color="auto" w:fill="FFFFFF" w:themeFill="background1"/>
            <w:vAlign w:val="center"/>
          </w:tcPr>
          <w:p>
            <w:pPr>
              <w:rPr>
                <w:rFonts w:ascii="Times New Roman" w:hAnsi="Times New Roman" w:cs="Times New Roman"/>
                <w:sz w:val="18"/>
                <w:szCs w:val="18"/>
              </w:rPr>
            </w:pPr>
            <w:r>
              <w:rPr>
                <w:rFonts w:ascii="Times New Roman" w:hAnsi="Times New Roman" w:cs="Times New Roman"/>
                <w:sz w:val="18"/>
                <w:szCs w:val="18"/>
              </w:rPr>
              <w:t>高级微观经济学</w:t>
            </w:r>
          </w:p>
          <w:p>
            <w:pPr>
              <w:rPr>
                <w:rFonts w:ascii="Times New Roman" w:hAnsi="Times New Roman" w:cs="Times New Roman"/>
                <w:sz w:val="18"/>
                <w:szCs w:val="18"/>
              </w:rPr>
            </w:pPr>
            <w:r>
              <w:rPr>
                <w:rFonts w:ascii="Times New Roman" w:hAnsi="Times New Roman" w:cs="Times New Roman"/>
                <w:sz w:val="18"/>
                <w:szCs w:val="18"/>
              </w:rPr>
              <w:t>Advanced Macroeconomics</w:t>
            </w:r>
          </w:p>
        </w:tc>
        <w:tc>
          <w:tcPr>
            <w:tcW w:w="659" w:type="dxa"/>
            <w:tcBorders>
              <w:top w:val="single" w:color="auto" w:sz="6" w:space="0"/>
              <w:left w:val="single" w:color="auto" w:sz="6" w:space="0"/>
              <w:bottom w:val="single" w:color="auto" w:sz="4" w:space="0"/>
              <w:right w:val="single" w:color="auto" w:sz="6" w:space="0"/>
            </w:tcBorders>
            <w:shd w:val="clear" w:color="auto" w:fill="FFFFFF" w:themeFill="background1"/>
            <w:vAlign w:val="center"/>
          </w:tcPr>
          <w:p>
            <w:pPr>
              <w:jc w:val="center"/>
              <w:rPr>
                <w:rFonts w:ascii="Times New Roman" w:hAnsi="Times New Roman" w:cs="Times New Roman"/>
                <w:sz w:val="18"/>
                <w:szCs w:val="18"/>
              </w:rPr>
            </w:pPr>
            <w:r>
              <w:rPr>
                <w:rFonts w:ascii="Times New Roman" w:hAnsi="Times New Roman" w:cs="Times New Roman"/>
                <w:sz w:val="18"/>
                <w:szCs w:val="18"/>
              </w:rPr>
              <w:t>3</w:t>
            </w:r>
          </w:p>
        </w:tc>
        <w:tc>
          <w:tcPr>
            <w:tcW w:w="699" w:type="dxa"/>
            <w:tcBorders>
              <w:top w:val="single" w:color="auto" w:sz="6" w:space="0"/>
              <w:left w:val="single" w:color="auto" w:sz="6" w:space="0"/>
              <w:bottom w:val="single" w:color="auto" w:sz="4" w:space="0"/>
              <w:right w:val="single" w:color="auto" w:sz="6" w:space="0"/>
            </w:tcBorders>
            <w:shd w:val="clear" w:color="auto" w:fill="FFFFFF" w:themeFill="background1"/>
            <w:vAlign w:val="center"/>
          </w:tcPr>
          <w:p>
            <w:pPr>
              <w:jc w:val="center"/>
              <w:rPr>
                <w:rFonts w:ascii="Times New Roman" w:hAnsi="Times New Roman" w:cs="Times New Roman"/>
                <w:sz w:val="18"/>
                <w:szCs w:val="18"/>
              </w:rPr>
            </w:pPr>
            <w:r>
              <w:rPr>
                <w:rFonts w:ascii="Times New Roman" w:hAnsi="Times New Roman" w:cs="Times New Roman"/>
                <w:sz w:val="18"/>
                <w:szCs w:val="18"/>
              </w:rPr>
              <w:t>第一学年秋季学期</w:t>
            </w:r>
          </w:p>
        </w:tc>
        <w:tc>
          <w:tcPr>
            <w:tcW w:w="831" w:type="dxa"/>
            <w:tcBorders>
              <w:top w:val="single" w:color="auto" w:sz="6" w:space="0"/>
              <w:left w:val="single" w:color="auto" w:sz="6" w:space="0"/>
              <w:bottom w:val="single" w:color="auto" w:sz="4" w:space="0"/>
              <w:right w:val="single" w:color="auto" w:sz="4" w:space="0"/>
            </w:tcBorders>
            <w:shd w:val="clear" w:color="auto" w:fill="FFFFFF" w:themeFill="background1"/>
            <w:vAlign w:val="center"/>
          </w:tcPr>
          <w:p>
            <w:pPr>
              <w:jc w:val="center"/>
              <w:rPr>
                <w:rFonts w:ascii="Times New Roman" w:hAnsi="Times New Roman" w:cs="Times New Roman"/>
                <w:sz w:val="18"/>
                <w:szCs w:val="18"/>
              </w:rPr>
            </w:pPr>
            <w:r>
              <w:rPr>
                <w:rFonts w:ascii="Times New Roman" w:hAnsi="Times New Roman" w:cs="Times New Roman"/>
                <w:sz w:val="18"/>
                <w:szCs w:val="18"/>
              </w:rPr>
              <w:t>必选</w:t>
            </w:r>
          </w:p>
        </w:tc>
      </w:tr>
      <w:tr>
        <w:tblPrEx>
          <w:tblCellMar>
            <w:top w:w="0" w:type="dxa"/>
            <w:left w:w="108" w:type="dxa"/>
            <w:bottom w:w="0" w:type="dxa"/>
            <w:right w:w="108" w:type="dxa"/>
          </w:tblCellMar>
        </w:tblPrEx>
        <w:trPr>
          <w:jc w:val="center"/>
        </w:trPr>
        <w:tc>
          <w:tcPr>
            <w:tcW w:w="838" w:type="dxa"/>
            <w:vMerge w:val="continue"/>
            <w:tcBorders>
              <w:left w:val="single" w:color="auto" w:sz="4" w:space="0"/>
              <w:right w:val="single" w:color="auto" w:sz="6" w:space="0"/>
            </w:tcBorders>
            <w:vAlign w:val="center"/>
          </w:tcPr>
          <w:p>
            <w:pPr>
              <w:jc w:val="center"/>
              <w:rPr>
                <w:rFonts w:ascii="Times New Roman" w:hAnsi="Times New Roman" w:cs="Times New Roman"/>
                <w:szCs w:val="21"/>
              </w:rPr>
            </w:pPr>
          </w:p>
        </w:tc>
        <w:tc>
          <w:tcPr>
            <w:tcW w:w="1701" w:type="dxa"/>
            <w:tcBorders>
              <w:left w:val="single" w:color="auto" w:sz="6" w:space="0"/>
              <w:bottom w:val="single" w:color="auto" w:sz="6" w:space="0"/>
              <w:right w:val="single" w:color="auto" w:sz="6" w:space="0"/>
            </w:tcBorders>
            <w:shd w:val="clear" w:color="auto" w:fill="FFFFFF" w:themeFill="background1"/>
            <w:vAlign w:val="center"/>
          </w:tcPr>
          <w:p>
            <w:pPr>
              <w:rPr>
                <w:rFonts w:ascii="Times New Roman" w:hAnsi="Times New Roman" w:cs="Times New Roman"/>
                <w:sz w:val="18"/>
                <w:szCs w:val="18"/>
              </w:rPr>
            </w:pPr>
            <w:r>
              <w:rPr>
                <w:rFonts w:ascii="Times New Roman" w:hAnsi="Times New Roman" w:cs="Times New Roman"/>
                <w:sz w:val="18"/>
                <w:szCs w:val="18"/>
              </w:rPr>
              <w:t>AECO5611102020</w:t>
            </w:r>
          </w:p>
        </w:tc>
        <w:tc>
          <w:tcPr>
            <w:tcW w:w="4204" w:type="dxa"/>
            <w:tcBorders>
              <w:top w:val="single" w:color="auto" w:sz="4" w:space="0"/>
              <w:left w:val="single" w:color="auto" w:sz="6" w:space="0"/>
              <w:bottom w:val="single" w:color="auto" w:sz="6" w:space="0"/>
              <w:right w:val="single" w:color="auto" w:sz="6" w:space="0"/>
            </w:tcBorders>
            <w:shd w:val="clear" w:color="auto" w:fill="FFFFFF" w:themeFill="background1"/>
            <w:vAlign w:val="center"/>
          </w:tcPr>
          <w:p>
            <w:pPr>
              <w:rPr>
                <w:rFonts w:ascii="Times New Roman" w:hAnsi="Times New Roman" w:cs="Times New Roman"/>
                <w:sz w:val="18"/>
                <w:szCs w:val="18"/>
              </w:rPr>
            </w:pPr>
            <w:r>
              <w:rPr>
                <w:rFonts w:ascii="Times New Roman" w:hAnsi="Times New Roman" w:cs="Times New Roman"/>
                <w:sz w:val="18"/>
                <w:szCs w:val="18"/>
              </w:rPr>
              <w:t>高级宏观经济学</w:t>
            </w:r>
          </w:p>
          <w:p>
            <w:pPr>
              <w:rPr>
                <w:rFonts w:ascii="Times New Roman" w:hAnsi="Times New Roman" w:cs="Times New Roman"/>
                <w:sz w:val="18"/>
                <w:szCs w:val="18"/>
              </w:rPr>
            </w:pPr>
            <w:r>
              <w:rPr>
                <w:rFonts w:ascii="Times New Roman" w:hAnsi="Times New Roman" w:cs="Times New Roman"/>
                <w:sz w:val="18"/>
                <w:szCs w:val="18"/>
              </w:rPr>
              <w:t>Advanced Macroeconomics</w:t>
            </w:r>
          </w:p>
        </w:tc>
        <w:tc>
          <w:tcPr>
            <w:tcW w:w="659" w:type="dxa"/>
            <w:tcBorders>
              <w:top w:val="single" w:color="auto" w:sz="4" w:space="0"/>
              <w:left w:val="single" w:color="auto" w:sz="6" w:space="0"/>
              <w:bottom w:val="single" w:color="auto" w:sz="6" w:space="0"/>
              <w:right w:val="single" w:color="auto" w:sz="6" w:space="0"/>
            </w:tcBorders>
            <w:shd w:val="clear" w:color="auto" w:fill="FFFFFF" w:themeFill="background1"/>
            <w:vAlign w:val="center"/>
          </w:tcPr>
          <w:p>
            <w:pPr>
              <w:jc w:val="center"/>
              <w:rPr>
                <w:rFonts w:ascii="Times New Roman" w:hAnsi="Times New Roman" w:cs="Times New Roman"/>
                <w:sz w:val="18"/>
                <w:szCs w:val="18"/>
              </w:rPr>
            </w:pPr>
            <w:r>
              <w:rPr>
                <w:rFonts w:ascii="Times New Roman" w:hAnsi="Times New Roman" w:cs="Times New Roman"/>
                <w:sz w:val="18"/>
                <w:szCs w:val="18"/>
              </w:rPr>
              <w:t>3</w:t>
            </w:r>
          </w:p>
        </w:tc>
        <w:tc>
          <w:tcPr>
            <w:tcW w:w="699" w:type="dxa"/>
            <w:tcBorders>
              <w:top w:val="single" w:color="auto" w:sz="4" w:space="0"/>
              <w:left w:val="single" w:color="auto" w:sz="6" w:space="0"/>
              <w:bottom w:val="single" w:color="auto" w:sz="6" w:space="0"/>
              <w:right w:val="single" w:color="auto" w:sz="6" w:space="0"/>
            </w:tcBorders>
            <w:shd w:val="clear" w:color="auto" w:fill="FFFFFF" w:themeFill="background1"/>
            <w:vAlign w:val="center"/>
          </w:tcPr>
          <w:p>
            <w:pPr>
              <w:jc w:val="center"/>
              <w:rPr>
                <w:rFonts w:ascii="Times New Roman" w:hAnsi="Times New Roman" w:cs="Times New Roman"/>
                <w:sz w:val="18"/>
                <w:szCs w:val="18"/>
              </w:rPr>
            </w:pPr>
            <w:r>
              <w:rPr>
                <w:rFonts w:ascii="Times New Roman" w:hAnsi="Times New Roman" w:cs="Times New Roman"/>
                <w:sz w:val="18"/>
                <w:szCs w:val="18"/>
              </w:rPr>
              <w:t>第一学年秋季学期</w:t>
            </w:r>
          </w:p>
        </w:tc>
        <w:tc>
          <w:tcPr>
            <w:tcW w:w="831" w:type="dxa"/>
            <w:tcBorders>
              <w:top w:val="single" w:color="auto" w:sz="4" w:space="0"/>
              <w:left w:val="single" w:color="auto" w:sz="6" w:space="0"/>
              <w:bottom w:val="single" w:color="auto" w:sz="6" w:space="0"/>
              <w:right w:val="single" w:color="auto" w:sz="4" w:space="0"/>
            </w:tcBorders>
            <w:shd w:val="clear" w:color="auto" w:fill="FFFFFF" w:themeFill="background1"/>
            <w:vAlign w:val="center"/>
          </w:tcPr>
          <w:p>
            <w:pPr>
              <w:jc w:val="center"/>
              <w:rPr>
                <w:rFonts w:ascii="Times New Roman" w:hAnsi="Times New Roman" w:cs="Times New Roman"/>
                <w:sz w:val="18"/>
                <w:szCs w:val="18"/>
              </w:rPr>
            </w:pPr>
            <w:r>
              <w:rPr>
                <w:rFonts w:ascii="Times New Roman" w:hAnsi="Times New Roman" w:cs="Times New Roman"/>
                <w:sz w:val="18"/>
                <w:szCs w:val="18"/>
              </w:rPr>
              <w:t>必选</w:t>
            </w:r>
          </w:p>
        </w:tc>
      </w:tr>
      <w:tr>
        <w:tblPrEx>
          <w:tblCellMar>
            <w:top w:w="0" w:type="dxa"/>
            <w:left w:w="108" w:type="dxa"/>
            <w:bottom w:w="0" w:type="dxa"/>
            <w:right w:w="108" w:type="dxa"/>
          </w:tblCellMar>
        </w:tblPrEx>
        <w:trPr>
          <w:jc w:val="center"/>
        </w:trPr>
        <w:tc>
          <w:tcPr>
            <w:tcW w:w="838" w:type="dxa"/>
            <w:vMerge w:val="continue"/>
            <w:tcBorders>
              <w:left w:val="single" w:color="auto" w:sz="4" w:space="0"/>
              <w:right w:val="single" w:color="auto" w:sz="6" w:space="0"/>
            </w:tcBorders>
            <w:vAlign w:val="center"/>
          </w:tcPr>
          <w:p>
            <w:pPr>
              <w:jc w:val="center"/>
              <w:rPr>
                <w:rFonts w:ascii="Times New Roman" w:hAnsi="Times New Roman" w:cs="Times New Roman"/>
                <w:szCs w:val="21"/>
              </w:rPr>
            </w:pPr>
          </w:p>
        </w:tc>
        <w:tc>
          <w:tcPr>
            <w:tcW w:w="1701" w:type="dxa"/>
            <w:tcBorders>
              <w:top w:val="single" w:color="auto" w:sz="6" w:space="0"/>
              <w:left w:val="single" w:color="auto" w:sz="6" w:space="0"/>
              <w:bottom w:val="single" w:color="auto" w:sz="6" w:space="0"/>
              <w:right w:val="single" w:color="auto" w:sz="6" w:space="0"/>
            </w:tcBorders>
            <w:shd w:val="clear" w:color="auto" w:fill="FFFFFF" w:themeFill="background1"/>
            <w:vAlign w:val="center"/>
          </w:tcPr>
          <w:p>
            <w:pPr>
              <w:rPr>
                <w:rFonts w:ascii="Times New Roman" w:hAnsi="Times New Roman" w:cs="Times New Roman"/>
                <w:sz w:val="18"/>
                <w:szCs w:val="18"/>
              </w:rPr>
            </w:pPr>
            <w:r>
              <w:rPr>
                <w:rFonts w:ascii="Times New Roman" w:hAnsi="Times New Roman" w:cs="Times New Roman"/>
                <w:sz w:val="18"/>
                <w:szCs w:val="18"/>
              </w:rPr>
              <w:t>AECO5611102019</w:t>
            </w:r>
          </w:p>
        </w:tc>
        <w:tc>
          <w:tcPr>
            <w:tcW w:w="4204" w:type="dxa"/>
            <w:tcBorders>
              <w:top w:val="single" w:color="auto" w:sz="6" w:space="0"/>
              <w:left w:val="single" w:color="auto" w:sz="6" w:space="0"/>
              <w:bottom w:val="single" w:color="auto" w:sz="6" w:space="0"/>
              <w:right w:val="single" w:color="auto" w:sz="6" w:space="0"/>
            </w:tcBorders>
            <w:shd w:val="clear" w:color="auto" w:fill="FFFFFF" w:themeFill="background1"/>
            <w:vAlign w:val="center"/>
          </w:tcPr>
          <w:p>
            <w:pPr>
              <w:rPr>
                <w:rFonts w:ascii="Times New Roman" w:hAnsi="Times New Roman" w:cs="Times New Roman"/>
                <w:sz w:val="18"/>
                <w:szCs w:val="18"/>
              </w:rPr>
            </w:pPr>
            <w:r>
              <w:rPr>
                <w:rFonts w:ascii="Times New Roman" w:hAnsi="Times New Roman" w:cs="Times New Roman"/>
                <w:sz w:val="18"/>
                <w:szCs w:val="18"/>
              </w:rPr>
              <w:t>高级计量经济学</w:t>
            </w:r>
          </w:p>
          <w:p>
            <w:pPr>
              <w:rPr>
                <w:rFonts w:ascii="Times New Roman" w:hAnsi="Times New Roman" w:cs="Times New Roman"/>
                <w:sz w:val="18"/>
                <w:szCs w:val="18"/>
              </w:rPr>
            </w:pPr>
            <w:r>
              <w:rPr>
                <w:rFonts w:ascii="Times New Roman" w:hAnsi="Times New Roman" w:cs="Times New Roman"/>
                <w:sz w:val="18"/>
                <w:szCs w:val="18"/>
              </w:rPr>
              <w:t>Advanced Econometrics</w:t>
            </w:r>
          </w:p>
        </w:tc>
        <w:tc>
          <w:tcPr>
            <w:tcW w:w="659" w:type="dxa"/>
            <w:tcBorders>
              <w:top w:val="single" w:color="auto" w:sz="6" w:space="0"/>
              <w:left w:val="single" w:color="auto" w:sz="6" w:space="0"/>
              <w:bottom w:val="single" w:color="auto" w:sz="6" w:space="0"/>
              <w:right w:val="single" w:color="auto" w:sz="6" w:space="0"/>
            </w:tcBorders>
            <w:shd w:val="clear" w:color="auto" w:fill="FFFFFF" w:themeFill="background1"/>
            <w:vAlign w:val="center"/>
          </w:tcPr>
          <w:p>
            <w:pPr>
              <w:jc w:val="center"/>
              <w:rPr>
                <w:rFonts w:ascii="Times New Roman" w:hAnsi="Times New Roman" w:cs="Times New Roman"/>
                <w:sz w:val="18"/>
                <w:szCs w:val="18"/>
              </w:rPr>
            </w:pPr>
            <w:r>
              <w:rPr>
                <w:rFonts w:ascii="Times New Roman" w:hAnsi="Times New Roman" w:cs="Times New Roman"/>
                <w:sz w:val="18"/>
                <w:szCs w:val="18"/>
              </w:rPr>
              <w:t>3</w:t>
            </w:r>
          </w:p>
        </w:tc>
        <w:tc>
          <w:tcPr>
            <w:tcW w:w="699" w:type="dxa"/>
            <w:tcBorders>
              <w:top w:val="single" w:color="auto" w:sz="6" w:space="0"/>
              <w:left w:val="single" w:color="auto" w:sz="6" w:space="0"/>
              <w:bottom w:val="single" w:color="auto" w:sz="6" w:space="0"/>
              <w:right w:val="single" w:color="auto" w:sz="6" w:space="0"/>
            </w:tcBorders>
            <w:shd w:val="clear" w:color="auto" w:fill="FFFFFF" w:themeFill="background1"/>
            <w:vAlign w:val="center"/>
          </w:tcPr>
          <w:p>
            <w:pPr>
              <w:jc w:val="center"/>
              <w:rPr>
                <w:rFonts w:ascii="Times New Roman" w:hAnsi="Times New Roman" w:cs="Times New Roman"/>
                <w:sz w:val="18"/>
                <w:szCs w:val="18"/>
              </w:rPr>
            </w:pPr>
            <w:r>
              <w:rPr>
                <w:rFonts w:ascii="Times New Roman" w:hAnsi="Times New Roman" w:cs="Times New Roman"/>
                <w:sz w:val="18"/>
                <w:szCs w:val="18"/>
              </w:rPr>
              <w:t>第一学年春季学期</w:t>
            </w:r>
          </w:p>
        </w:tc>
        <w:tc>
          <w:tcPr>
            <w:tcW w:w="831" w:type="dxa"/>
            <w:tcBorders>
              <w:top w:val="single" w:color="auto" w:sz="6" w:space="0"/>
              <w:left w:val="single" w:color="auto" w:sz="6" w:space="0"/>
              <w:bottom w:val="single" w:color="auto" w:sz="6" w:space="0"/>
              <w:right w:val="single" w:color="auto" w:sz="4" w:space="0"/>
            </w:tcBorders>
            <w:shd w:val="clear" w:color="auto" w:fill="FFFFFF" w:themeFill="background1"/>
            <w:vAlign w:val="center"/>
          </w:tcPr>
          <w:p>
            <w:pPr>
              <w:jc w:val="center"/>
              <w:rPr>
                <w:rFonts w:ascii="Times New Roman" w:hAnsi="Times New Roman" w:cs="Times New Roman"/>
                <w:sz w:val="18"/>
                <w:szCs w:val="18"/>
              </w:rPr>
            </w:pPr>
            <w:r>
              <w:rPr>
                <w:rFonts w:ascii="Times New Roman" w:hAnsi="Times New Roman" w:cs="Times New Roman"/>
                <w:sz w:val="18"/>
                <w:szCs w:val="18"/>
              </w:rPr>
              <w:t>必选</w:t>
            </w:r>
          </w:p>
        </w:tc>
      </w:tr>
      <w:tr>
        <w:tblPrEx>
          <w:tblCellMar>
            <w:top w:w="0" w:type="dxa"/>
            <w:left w:w="108" w:type="dxa"/>
            <w:bottom w:w="0" w:type="dxa"/>
            <w:right w:w="108" w:type="dxa"/>
          </w:tblCellMar>
        </w:tblPrEx>
        <w:trPr>
          <w:jc w:val="center"/>
        </w:trPr>
        <w:tc>
          <w:tcPr>
            <w:tcW w:w="838" w:type="dxa"/>
            <w:vMerge w:val="continue"/>
            <w:tcBorders>
              <w:left w:val="single" w:color="auto" w:sz="4" w:space="0"/>
              <w:bottom w:val="single" w:color="auto" w:sz="4" w:space="0"/>
              <w:right w:val="single" w:color="auto" w:sz="6" w:space="0"/>
            </w:tcBorders>
            <w:vAlign w:val="center"/>
          </w:tcPr>
          <w:p>
            <w:pPr>
              <w:jc w:val="center"/>
              <w:rPr>
                <w:rFonts w:ascii="Times New Roman" w:hAnsi="Times New Roman" w:cs="Times New Roman"/>
                <w:szCs w:val="21"/>
              </w:rPr>
            </w:pPr>
          </w:p>
        </w:tc>
        <w:tc>
          <w:tcPr>
            <w:tcW w:w="8094" w:type="dxa"/>
            <w:gridSpan w:val="5"/>
            <w:tcBorders>
              <w:top w:val="single" w:color="auto" w:sz="6" w:space="0"/>
              <w:left w:val="single" w:color="auto" w:sz="6" w:space="0"/>
              <w:bottom w:val="single" w:color="auto" w:sz="6" w:space="0"/>
              <w:right w:val="single" w:color="auto" w:sz="4" w:space="0"/>
            </w:tcBorders>
          </w:tcPr>
          <w:p>
            <w:pPr>
              <w:jc w:val="center"/>
              <w:rPr>
                <w:rFonts w:ascii="Times New Roman" w:hAnsi="Times New Roman" w:cs="Times New Roman"/>
                <w:sz w:val="18"/>
                <w:szCs w:val="18"/>
              </w:rPr>
            </w:pPr>
            <w:r>
              <w:rPr>
                <w:rFonts w:ascii="Times New Roman" w:hAnsi="Times New Roman" w:cs="Times New Roman"/>
                <w:b/>
                <w:sz w:val="18"/>
                <w:szCs w:val="18"/>
              </w:rPr>
              <w:t>学分要求</w:t>
            </w:r>
            <w:r>
              <w:rPr>
                <w:rFonts w:ascii="Times New Roman" w:hAnsi="Times New Roman" w:cs="Times New Roman"/>
                <w:sz w:val="18"/>
                <w:szCs w:val="18"/>
              </w:rPr>
              <w:t>：≥</w:t>
            </w:r>
            <w:r>
              <w:rPr>
                <w:rFonts w:hint="eastAsia" w:ascii="Times New Roman" w:hAnsi="Times New Roman" w:cs="Times New Roman"/>
                <w:sz w:val="18"/>
                <w:szCs w:val="18"/>
              </w:rPr>
              <w:t>9</w:t>
            </w:r>
            <w:r>
              <w:rPr>
                <w:rFonts w:ascii="Times New Roman" w:hAnsi="Times New Roman" w:cs="Times New Roman"/>
                <w:sz w:val="18"/>
                <w:szCs w:val="18"/>
              </w:rPr>
              <w:t>学分</w:t>
            </w:r>
          </w:p>
        </w:tc>
      </w:tr>
      <w:tr>
        <w:tblPrEx>
          <w:tblCellMar>
            <w:top w:w="0" w:type="dxa"/>
            <w:left w:w="108" w:type="dxa"/>
            <w:bottom w:w="0" w:type="dxa"/>
            <w:right w:w="108" w:type="dxa"/>
          </w:tblCellMar>
        </w:tblPrEx>
        <w:trPr>
          <w:jc w:val="center"/>
        </w:trPr>
        <w:tc>
          <w:tcPr>
            <w:tcW w:w="838" w:type="dxa"/>
            <w:vMerge w:val="restart"/>
            <w:tcBorders>
              <w:top w:val="single" w:color="auto" w:sz="4" w:space="0"/>
              <w:left w:val="single" w:color="auto" w:sz="4" w:space="0"/>
              <w:right w:val="single" w:color="auto" w:sz="6" w:space="0"/>
            </w:tcBorders>
            <w:vAlign w:val="center"/>
          </w:tcPr>
          <w:p>
            <w:pPr>
              <w:jc w:val="center"/>
              <w:rPr>
                <w:rFonts w:ascii="Times New Roman" w:hAnsi="Times New Roman" w:cs="Times New Roman"/>
                <w:szCs w:val="21"/>
              </w:rPr>
            </w:pPr>
            <w:r>
              <w:rPr>
                <w:rFonts w:ascii="Times New Roman" w:hAnsi="Times New Roman" w:cs="Times New Roman"/>
                <w:b/>
                <w:szCs w:val="21"/>
              </w:rPr>
              <w:t>学位专业课（必修）</w:t>
            </w:r>
          </w:p>
        </w:tc>
        <w:tc>
          <w:tcPr>
            <w:tcW w:w="1701" w:type="dxa"/>
            <w:tcBorders>
              <w:top w:val="single" w:color="auto" w:sz="6" w:space="0"/>
              <w:left w:val="single" w:color="auto" w:sz="6" w:space="0"/>
              <w:bottom w:val="single" w:color="auto" w:sz="6" w:space="0"/>
              <w:right w:val="single" w:color="auto" w:sz="6" w:space="0"/>
            </w:tcBorders>
            <w:shd w:val="clear" w:color="auto" w:fill="FFFFFF" w:themeFill="background1"/>
            <w:vAlign w:val="center"/>
          </w:tcPr>
          <w:p>
            <w:pPr>
              <w:rPr>
                <w:rFonts w:ascii="Times New Roman" w:hAnsi="Times New Roman" w:cs="Times New Roman"/>
                <w:sz w:val="18"/>
                <w:szCs w:val="18"/>
              </w:rPr>
            </w:pPr>
            <w:r>
              <w:rPr>
                <w:rFonts w:ascii="Times New Roman" w:hAnsi="Times New Roman" w:cs="Times New Roman"/>
                <w:sz w:val="18"/>
                <w:szCs w:val="18"/>
              </w:rPr>
              <w:t>AECO5611102038</w:t>
            </w:r>
          </w:p>
        </w:tc>
        <w:tc>
          <w:tcPr>
            <w:tcW w:w="4204" w:type="dxa"/>
            <w:tcBorders>
              <w:top w:val="single" w:color="auto" w:sz="6" w:space="0"/>
              <w:left w:val="single" w:color="auto" w:sz="6" w:space="0"/>
              <w:bottom w:val="single" w:color="auto" w:sz="6" w:space="0"/>
              <w:right w:val="single" w:color="auto" w:sz="6" w:space="0"/>
            </w:tcBorders>
            <w:shd w:val="clear" w:color="auto" w:fill="FFFFFF" w:themeFill="background1"/>
            <w:vAlign w:val="center"/>
          </w:tcPr>
          <w:p>
            <w:pPr>
              <w:rPr>
                <w:rFonts w:ascii="Times New Roman" w:hAnsi="Times New Roman" w:cs="Times New Roman"/>
                <w:sz w:val="18"/>
                <w:szCs w:val="18"/>
              </w:rPr>
            </w:pPr>
            <w:r>
              <w:rPr>
                <w:rFonts w:ascii="Times New Roman" w:hAnsi="Times New Roman" w:cs="Times New Roman"/>
                <w:sz w:val="18"/>
                <w:szCs w:val="18"/>
              </w:rPr>
              <w:t>高级国际经济学</w:t>
            </w:r>
          </w:p>
          <w:p>
            <w:pPr>
              <w:rPr>
                <w:rFonts w:ascii="Times New Roman" w:hAnsi="Times New Roman" w:cs="Times New Roman"/>
                <w:sz w:val="18"/>
                <w:szCs w:val="18"/>
              </w:rPr>
            </w:pPr>
            <w:r>
              <w:rPr>
                <w:rFonts w:ascii="Times New Roman" w:hAnsi="Times New Roman" w:cs="Times New Roman"/>
                <w:sz w:val="18"/>
                <w:szCs w:val="18"/>
              </w:rPr>
              <w:t>Advanced International Economics</w:t>
            </w:r>
          </w:p>
        </w:tc>
        <w:tc>
          <w:tcPr>
            <w:tcW w:w="659" w:type="dxa"/>
            <w:tcBorders>
              <w:top w:val="single" w:color="auto" w:sz="6" w:space="0"/>
              <w:left w:val="single" w:color="auto" w:sz="6" w:space="0"/>
              <w:bottom w:val="single" w:color="auto" w:sz="6" w:space="0"/>
              <w:right w:val="single" w:color="auto" w:sz="6" w:space="0"/>
            </w:tcBorders>
            <w:shd w:val="clear" w:color="auto" w:fill="FFFFFF" w:themeFill="background1"/>
            <w:vAlign w:val="center"/>
          </w:tcPr>
          <w:p>
            <w:pPr>
              <w:jc w:val="center"/>
              <w:rPr>
                <w:rFonts w:ascii="Times New Roman" w:hAnsi="Times New Roman" w:cs="Times New Roman"/>
                <w:sz w:val="18"/>
                <w:szCs w:val="18"/>
              </w:rPr>
            </w:pPr>
            <w:r>
              <w:rPr>
                <w:rFonts w:ascii="Times New Roman" w:hAnsi="Times New Roman" w:cs="Times New Roman"/>
                <w:sz w:val="18"/>
                <w:szCs w:val="18"/>
              </w:rPr>
              <w:t>2</w:t>
            </w:r>
          </w:p>
        </w:tc>
        <w:tc>
          <w:tcPr>
            <w:tcW w:w="699" w:type="dxa"/>
            <w:tcBorders>
              <w:top w:val="single" w:color="auto" w:sz="6" w:space="0"/>
              <w:left w:val="single" w:color="auto" w:sz="6" w:space="0"/>
              <w:bottom w:val="single" w:color="auto" w:sz="6" w:space="0"/>
              <w:right w:val="single" w:color="auto" w:sz="6" w:space="0"/>
            </w:tcBorders>
            <w:shd w:val="clear" w:color="auto" w:fill="FFFFFF" w:themeFill="background1"/>
            <w:vAlign w:val="center"/>
          </w:tcPr>
          <w:p>
            <w:pPr>
              <w:jc w:val="center"/>
              <w:rPr>
                <w:rFonts w:ascii="Times New Roman" w:hAnsi="Times New Roman" w:cs="Times New Roman"/>
                <w:sz w:val="18"/>
                <w:szCs w:val="18"/>
              </w:rPr>
            </w:pPr>
            <w:r>
              <w:rPr>
                <w:rFonts w:ascii="Times New Roman" w:hAnsi="Times New Roman" w:cs="Times New Roman"/>
                <w:sz w:val="18"/>
                <w:szCs w:val="18"/>
              </w:rPr>
              <w:t>第一学年春季学期</w:t>
            </w:r>
          </w:p>
        </w:tc>
        <w:tc>
          <w:tcPr>
            <w:tcW w:w="831" w:type="dxa"/>
            <w:tcBorders>
              <w:top w:val="single" w:color="auto" w:sz="6" w:space="0"/>
              <w:left w:val="single" w:color="auto" w:sz="6" w:space="0"/>
              <w:bottom w:val="single" w:color="auto" w:sz="6" w:space="0"/>
              <w:right w:val="single" w:color="auto" w:sz="4" w:space="0"/>
            </w:tcBorders>
            <w:shd w:val="clear" w:color="auto" w:fill="FFFFFF" w:themeFill="background1"/>
          </w:tcPr>
          <w:p>
            <w:pPr>
              <w:jc w:val="center"/>
              <w:rPr>
                <w:rFonts w:ascii="Times New Roman" w:hAnsi="Times New Roman" w:cs="Times New Roman"/>
                <w:sz w:val="18"/>
                <w:szCs w:val="18"/>
              </w:rPr>
            </w:pPr>
            <w:r>
              <w:rPr>
                <w:rFonts w:ascii="Times New Roman" w:hAnsi="Times New Roman" w:cs="Times New Roman"/>
                <w:sz w:val="18"/>
                <w:szCs w:val="18"/>
              </w:rPr>
              <w:t>金融学、国际贸易学、产业经济学必修</w:t>
            </w:r>
          </w:p>
        </w:tc>
      </w:tr>
      <w:tr>
        <w:tblPrEx>
          <w:tblCellMar>
            <w:top w:w="0" w:type="dxa"/>
            <w:left w:w="108" w:type="dxa"/>
            <w:bottom w:w="0" w:type="dxa"/>
            <w:right w:w="108" w:type="dxa"/>
          </w:tblCellMar>
        </w:tblPrEx>
        <w:trPr>
          <w:jc w:val="center"/>
        </w:trPr>
        <w:tc>
          <w:tcPr>
            <w:tcW w:w="838" w:type="dxa"/>
            <w:vMerge w:val="continue"/>
            <w:tcBorders>
              <w:left w:val="single" w:color="auto" w:sz="4" w:space="0"/>
              <w:right w:val="single" w:color="auto" w:sz="6" w:space="0"/>
            </w:tcBorders>
            <w:vAlign w:val="center"/>
          </w:tcPr>
          <w:p>
            <w:pPr>
              <w:jc w:val="center"/>
              <w:rPr>
                <w:rFonts w:ascii="Times New Roman" w:hAnsi="Times New Roman" w:cs="Times New Roman"/>
                <w:szCs w:val="21"/>
              </w:rPr>
            </w:pPr>
          </w:p>
        </w:tc>
        <w:tc>
          <w:tcPr>
            <w:tcW w:w="1701" w:type="dxa"/>
            <w:tcBorders>
              <w:top w:val="single" w:color="auto" w:sz="6" w:space="0"/>
              <w:left w:val="single" w:color="auto" w:sz="6" w:space="0"/>
              <w:bottom w:val="single" w:color="auto" w:sz="6" w:space="0"/>
              <w:right w:val="single" w:color="auto" w:sz="6" w:space="0"/>
            </w:tcBorders>
            <w:shd w:val="clear" w:color="auto" w:fill="FFFFFF" w:themeFill="background1"/>
            <w:vAlign w:val="center"/>
          </w:tcPr>
          <w:p>
            <w:pPr>
              <w:rPr>
                <w:rFonts w:ascii="Times New Roman" w:hAnsi="Times New Roman" w:eastAsia="宋体" w:cs="Times New Roman"/>
                <w:kern w:val="0"/>
                <w:sz w:val="18"/>
                <w:szCs w:val="18"/>
              </w:rPr>
            </w:pPr>
            <w:r>
              <w:rPr>
                <w:rFonts w:ascii="Times New Roman" w:hAnsi="Times New Roman" w:eastAsia="宋体" w:cs="Times New Roman"/>
                <w:kern w:val="0"/>
                <w:sz w:val="18"/>
                <w:szCs w:val="18"/>
              </w:rPr>
              <w:t>AECO5611102005</w:t>
            </w:r>
          </w:p>
        </w:tc>
        <w:tc>
          <w:tcPr>
            <w:tcW w:w="4204" w:type="dxa"/>
            <w:tcBorders>
              <w:top w:val="single" w:color="auto" w:sz="6" w:space="0"/>
              <w:left w:val="single" w:color="auto" w:sz="6" w:space="0"/>
              <w:bottom w:val="single" w:color="auto" w:sz="6" w:space="0"/>
              <w:right w:val="single" w:color="auto" w:sz="6" w:space="0"/>
            </w:tcBorders>
            <w:shd w:val="clear" w:color="auto" w:fill="FFFFFF" w:themeFill="background1"/>
            <w:vAlign w:val="center"/>
          </w:tcPr>
          <w:p>
            <w:pPr>
              <w:rPr>
                <w:rFonts w:ascii="Times New Roman" w:hAnsi="Times New Roman" w:cs="Times New Roman"/>
                <w:sz w:val="18"/>
                <w:szCs w:val="18"/>
              </w:rPr>
            </w:pPr>
            <w:r>
              <w:rPr>
                <w:rFonts w:ascii="Times New Roman" w:hAnsi="Times New Roman" w:cs="Times New Roman"/>
                <w:sz w:val="18"/>
                <w:szCs w:val="18"/>
              </w:rPr>
              <w:t>专业英语</w:t>
            </w:r>
          </w:p>
          <w:p>
            <w:pPr>
              <w:rPr>
                <w:rFonts w:ascii="Times New Roman" w:hAnsi="Times New Roman" w:cs="Times New Roman"/>
                <w:sz w:val="18"/>
                <w:szCs w:val="18"/>
              </w:rPr>
            </w:pPr>
            <w:r>
              <w:rPr>
                <w:rFonts w:ascii="Times New Roman" w:hAnsi="Times New Roman" w:cs="Times New Roman"/>
                <w:sz w:val="18"/>
                <w:szCs w:val="18"/>
              </w:rPr>
              <w:t>Professional English</w:t>
            </w:r>
          </w:p>
        </w:tc>
        <w:tc>
          <w:tcPr>
            <w:tcW w:w="659" w:type="dxa"/>
            <w:tcBorders>
              <w:top w:val="single" w:color="auto" w:sz="6" w:space="0"/>
              <w:left w:val="single" w:color="auto" w:sz="6" w:space="0"/>
              <w:bottom w:val="single" w:color="auto" w:sz="6" w:space="0"/>
              <w:right w:val="single" w:color="auto" w:sz="6" w:space="0"/>
            </w:tcBorders>
            <w:shd w:val="clear" w:color="auto" w:fill="FFFFFF" w:themeFill="background1"/>
            <w:vAlign w:val="center"/>
          </w:tcPr>
          <w:p>
            <w:pPr>
              <w:jc w:val="center"/>
              <w:rPr>
                <w:rFonts w:ascii="Times New Roman" w:hAnsi="Times New Roman" w:cs="Times New Roman"/>
                <w:sz w:val="18"/>
                <w:szCs w:val="18"/>
              </w:rPr>
            </w:pPr>
            <w:r>
              <w:rPr>
                <w:rFonts w:ascii="Times New Roman" w:hAnsi="Times New Roman" w:cs="Times New Roman"/>
                <w:sz w:val="18"/>
                <w:szCs w:val="18"/>
              </w:rPr>
              <w:t>1</w:t>
            </w:r>
          </w:p>
        </w:tc>
        <w:tc>
          <w:tcPr>
            <w:tcW w:w="699" w:type="dxa"/>
            <w:tcBorders>
              <w:top w:val="single" w:color="auto" w:sz="6" w:space="0"/>
              <w:left w:val="single" w:color="auto" w:sz="6" w:space="0"/>
              <w:bottom w:val="single" w:color="auto" w:sz="6" w:space="0"/>
              <w:right w:val="single" w:color="auto" w:sz="6" w:space="0"/>
            </w:tcBorders>
            <w:shd w:val="clear" w:color="auto" w:fill="FFFFFF" w:themeFill="background1"/>
            <w:vAlign w:val="center"/>
          </w:tcPr>
          <w:p>
            <w:pPr>
              <w:jc w:val="center"/>
              <w:rPr>
                <w:rFonts w:ascii="Times New Roman" w:hAnsi="Times New Roman" w:cs="Times New Roman"/>
                <w:sz w:val="18"/>
                <w:szCs w:val="18"/>
              </w:rPr>
            </w:pPr>
            <w:r>
              <w:rPr>
                <w:rFonts w:ascii="Times New Roman" w:hAnsi="Times New Roman" w:cs="Times New Roman"/>
                <w:sz w:val="18"/>
                <w:szCs w:val="18"/>
              </w:rPr>
              <w:t>第一学年春季学期</w:t>
            </w:r>
          </w:p>
        </w:tc>
        <w:tc>
          <w:tcPr>
            <w:tcW w:w="831" w:type="dxa"/>
            <w:tcBorders>
              <w:top w:val="single" w:color="auto" w:sz="6" w:space="0"/>
              <w:left w:val="single" w:color="auto" w:sz="6" w:space="0"/>
              <w:bottom w:val="single" w:color="auto" w:sz="6" w:space="0"/>
              <w:right w:val="single" w:color="auto" w:sz="4" w:space="0"/>
            </w:tcBorders>
            <w:shd w:val="clear" w:color="auto" w:fill="FFFFFF" w:themeFill="background1"/>
          </w:tcPr>
          <w:p>
            <w:pPr>
              <w:jc w:val="center"/>
              <w:rPr>
                <w:rFonts w:ascii="Times New Roman" w:hAnsi="Times New Roman" w:cs="Times New Roman"/>
                <w:sz w:val="18"/>
                <w:szCs w:val="18"/>
              </w:rPr>
            </w:pPr>
            <w:r>
              <w:rPr>
                <w:rFonts w:ascii="Times New Roman" w:hAnsi="Times New Roman" w:cs="Times New Roman"/>
                <w:sz w:val="18"/>
                <w:szCs w:val="18"/>
              </w:rPr>
              <w:t>金融学、国际贸易学、产业经济学必修</w:t>
            </w:r>
          </w:p>
        </w:tc>
      </w:tr>
      <w:tr>
        <w:tblPrEx>
          <w:tblCellMar>
            <w:top w:w="0" w:type="dxa"/>
            <w:left w:w="108" w:type="dxa"/>
            <w:bottom w:w="0" w:type="dxa"/>
            <w:right w:w="108" w:type="dxa"/>
          </w:tblCellMar>
        </w:tblPrEx>
        <w:trPr>
          <w:jc w:val="center"/>
        </w:trPr>
        <w:tc>
          <w:tcPr>
            <w:tcW w:w="838" w:type="dxa"/>
            <w:vMerge w:val="continue"/>
            <w:tcBorders>
              <w:left w:val="single" w:color="auto" w:sz="4" w:space="0"/>
              <w:right w:val="single" w:color="auto" w:sz="6" w:space="0"/>
            </w:tcBorders>
            <w:vAlign w:val="center"/>
          </w:tcPr>
          <w:p>
            <w:pPr>
              <w:jc w:val="center"/>
              <w:rPr>
                <w:rFonts w:ascii="Times New Roman" w:hAnsi="Times New Roman" w:cs="Times New Roman"/>
                <w:szCs w:val="21"/>
              </w:rPr>
            </w:pPr>
          </w:p>
        </w:tc>
        <w:tc>
          <w:tcPr>
            <w:tcW w:w="1701" w:type="dxa"/>
            <w:tcBorders>
              <w:top w:val="single" w:color="auto" w:sz="6" w:space="0"/>
              <w:left w:val="single" w:color="auto" w:sz="6" w:space="0"/>
              <w:bottom w:val="single" w:color="auto" w:sz="6" w:space="0"/>
              <w:right w:val="single" w:color="auto" w:sz="6" w:space="0"/>
            </w:tcBorders>
            <w:shd w:val="clear" w:color="auto" w:fill="FFFFFF" w:themeFill="background1"/>
            <w:vAlign w:val="center"/>
          </w:tcPr>
          <w:p>
            <w:pPr>
              <w:rPr>
                <w:rFonts w:ascii="Times New Roman" w:hAnsi="Times New Roman" w:eastAsia="宋体" w:cs="Times New Roman"/>
                <w:kern w:val="0"/>
                <w:sz w:val="18"/>
                <w:szCs w:val="18"/>
              </w:rPr>
            </w:pPr>
            <w:r>
              <w:rPr>
                <w:rFonts w:ascii="Times New Roman" w:hAnsi="Times New Roman" w:eastAsia="宋体" w:cs="Times New Roman"/>
                <w:kern w:val="0"/>
                <w:sz w:val="18"/>
                <w:szCs w:val="18"/>
              </w:rPr>
              <w:t>AECO5611102027</w:t>
            </w:r>
          </w:p>
        </w:tc>
        <w:tc>
          <w:tcPr>
            <w:tcW w:w="4204" w:type="dxa"/>
            <w:tcBorders>
              <w:top w:val="single" w:color="auto" w:sz="6" w:space="0"/>
              <w:left w:val="single" w:color="auto" w:sz="6" w:space="0"/>
              <w:bottom w:val="single" w:color="auto" w:sz="6" w:space="0"/>
              <w:right w:val="single" w:color="auto" w:sz="6" w:space="0"/>
            </w:tcBorders>
            <w:shd w:val="clear" w:color="auto" w:fill="FFFFFF" w:themeFill="background1"/>
            <w:vAlign w:val="center"/>
          </w:tcPr>
          <w:p>
            <w:pPr>
              <w:rPr>
                <w:rFonts w:ascii="Times New Roman" w:hAnsi="Times New Roman" w:cs="Times New Roman"/>
                <w:sz w:val="18"/>
                <w:szCs w:val="18"/>
              </w:rPr>
            </w:pPr>
            <w:r>
              <w:rPr>
                <w:rFonts w:ascii="Times New Roman" w:hAnsi="Times New Roman" w:cs="Times New Roman"/>
                <w:sz w:val="18"/>
                <w:szCs w:val="18"/>
              </w:rPr>
              <w:t>高级货币金融学</w:t>
            </w:r>
          </w:p>
          <w:p>
            <w:pPr>
              <w:rPr>
                <w:rFonts w:ascii="Times New Roman" w:hAnsi="Times New Roman" w:cs="Times New Roman"/>
                <w:sz w:val="18"/>
                <w:szCs w:val="18"/>
              </w:rPr>
            </w:pPr>
            <w:r>
              <w:rPr>
                <w:rFonts w:ascii="Times New Roman" w:hAnsi="Times New Roman" w:cs="Times New Roman"/>
                <w:sz w:val="18"/>
                <w:szCs w:val="18"/>
              </w:rPr>
              <w:t>Advanced Monetary Finance</w:t>
            </w:r>
          </w:p>
        </w:tc>
        <w:tc>
          <w:tcPr>
            <w:tcW w:w="659" w:type="dxa"/>
            <w:tcBorders>
              <w:top w:val="single" w:color="auto" w:sz="6" w:space="0"/>
              <w:left w:val="single" w:color="auto" w:sz="6" w:space="0"/>
              <w:bottom w:val="single" w:color="auto" w:sz="6" w:space="0"/>
              <w:right w:val="single" w:color="auto" w:sz="6" w:space="0"/>
            </w:tcBorders>
            <w:shd w:val="clear" w:color="auto" w:fill="FFFFFF" w:themeFill="background1"/>
            <w:vAlign w:val="center"/>
          </w:tcPr>
          <w:p>
            <w:pPr>
              <w:jc w:val="center"/>
              <w:rPr>
                <w:rFonts w:ascii="Times New Roman" w:hAnsi="Times New Roman" w:cs="Times New Roman"/>
                <w:sz w:val="18"/>
                <w:szCs w:val="18"/>
              </w:rPr>
            </w:pPr>
            <w:r>
              <w:rPr>
                <w:rFonts w:ascii="Times New Roman" w:hAnsi="Times New Roman" w:cs="Times New Roman"/>
                <w:sz w:val="18"/>
                <w:szCs w:val="18"/>
              </w:rPr>
              <w:t>3</w:t>
            </w:r>
          </w:p>
        </w:tc>
        <w:tc>
          <w:tcPr>
            <w:tcW w:w="699" w:type="dxa"/>
            <w:tcBorders>
              <w:top w:val="single" w:color="auto" w:sz="6" w:space="0"/>
              <w:left w:val="single" w:color="auto" w:sz="6" w:space="0"/>
              <w:bottom w:val="single" w:color="auto" w:sz="6" w:space="0"/>
              <w:right w:val="single" w:color="auto" w:sz="6" w:space="0"/>
            </w:tcBorders>
            <w:shd w:val="clear" w:color="auto" w:fill="FFFFFF" w:themeFill="background1"/>
            <w:vAlign w:val="center"/>
          </w:tcPr>
          <w:p>
            <w:pPr>
              <w:jc w:val="center"/>
              <w:rPr>
                <w:rFonts w:ascii="Times New Roman" w:hAnsi="Times New Roman" w:cs="Times New Roman"/>
                <w:sz w:val="18"/>
                <w:szCs w:val="18"/>
              </w:rPr>
            </w:pPr>
            <w:r>
              <w:rPr>
                <w:rFonts w:ascii="Times New Roman" w:hAnsi="Times New Roman" w:cs="Times New Roman"/>
                <w:sz w:val="18"/>
                <w:szCs w:val="18"/>
              </w:rPr>
              <w:t>第一学年春季学期</w:t>
            </w:r>
          </w:p>
        </w:tc>
        <w:tc>
          <w:tcPr>
            <w:tcW w:w="831" w:type="dxa"/>
            <w:tcBorders>
              <w:top w:val="single" w:color="auto" w:sz="6" w:space="0"/>
              <w:left w:val="single" w:color="auto" w:sz="6" w:space="0"/>
              <w:bottom w:val="single" w:color="auto" w:sz="6" w:space="0"/>
              <w:right w:val="single" w:color="auto" w:sz="4" w:space="0"/>
            </w:tcBorders>
            <w:shd w:val="clear" w:color="auto" w:fill="FFFFFF" w:themeFill="background1"/>
          </w:tcPr>
          <w:p>
            <w:pPr>
              <w:jc w:val="center"/>
              <w:rPr>
                <w:rFonts w:ascii="Times New Roman" w:hAnsi="Times New Roman" w:cs="Times New Roman"/>
                <w:sz w:val="18"/>
                <w:szCs w:val="18"/>
              </w:rPr>
            </w:pPr>
            <w:r>
              <w:rPr>
                <w:rFonts w:ascii="Times New Roman" w:hAnsi="Times New Roman" w:cs="Times New Roman"/>
                <w:sz w:val="18"/>
                <w:szCs w:val="18"/>
              </w:rPr>
              <w:t>金融学必修，其他专业选修</w:t>
            </w:r>
          </w:p>
        </w:tc>
      </w:tr>
      <w:tr>
        <w:tblPrEx>
          <w:tblCellMar>
            <w:top w:w="0" w:type="dxa"/>
            <w:left w:w="108" w:type="dxa"/>
            <w:bottom w:w="0" w:type="dxa"/>
            <w:right w:w="108" w:type="dxa"/>
          </w:tblCellMar>
        </w:tblPrEx>
        <w:trPr>
          <w:jc w:val="center"/>
        </w:trPr>
        <w:tc>
          <w:tcPr>
            <w:tcW w:w="838" w:type="dxa"/>
            <w:vMerge w:val="continue"/>
            <w:tcBorders>
              <w:left w:val="single" w:color="auto" w:sz="4" w:space="0"/>
              <w:right w:val="single" w:color="auto" w:sz="6" w:space="0"/>
            </w:tcBorders>
            <w:vAlign w:val="center"/>
          </w:tcPr>
          <w:p>
            <w:pPr>
              <w:jc w:val="center"/>
              <w:rPr>
                <w:rFonts w:ascii="Times New Roman" w:hAnsi="Times New Roman" w:cs="Times New Roman"/>
                <w:szCs w:val="21"/>
              </w:rPr>
            </w:pPr>
          </w:p>
        </w:tc>
        <w:tc>
          <w:tcPr>
            <w:tcW w:w="1701" w:type="dxa"/>
            <w:tcBorders>
              <w:top w:val="single" w:color="auto" w:sz="6" w:space="0"/>
              <w:left w:val="single" w:color="auto" w:sz="6" w:space="0"/>
              <w:bottom w:val="single" w:color="auto" w:sz="6" w:space="0"/>
              <w:right w:val="single" w:color="auto" w:sz="6" w:space="0"/>
            </w:tcBorders>
            <w:shd w:val="clear" w:color="auto" w:fill="FFFFFF" w:themeFill="background1"/>
            <w:vAlign w:val="center"/>
          </w:tcPr>
          <w:p>
            <w:pPr>
              <w:rPr>
                <w:rFonts w:ascii="Times New Roman" w:hAnsi="Times New Roman" w:cs="Times New Roman"/>
                <w:sz w:val="18"/>
                <w:szCs w:val="18"/>
              </w:rPr>
            </w:pPr>
            <w:r>
              <w:rPr>
                <w:rFonts w:ascii="Times New Roman" w:hAnsi="Times New Roman" w:cs="Times New Roman"/>
                <w:sz w:val="18"/>
                <w:szCs w:val="18"/>
              </w:rPr>
              <w:t>AECO5621102002</w:t>
            </w:r>
          </w:p>
        </w:tc>
        <w:tc>
          <w:tcPr>
            <w:tcW w:w="4204" w:type="dxa"/>
            <w:tcBorders>
              <w:top w:val="single" w:color="auto" w:sz="6" w:space="0"/>
              <w:left w:val="single" w:color="auto" w:sz="6" w:space="0"/>
              <w:bottom w:val="single" w:color="auto" w:sz="6" w:space="0"/>
              <w:right w:val="single" w:color="auto" w:sz="6" w:space="0"/>
            </w:tcBorders>
            <w:shd w:val="clear" w:color="auto" w:fill="FFFFFF" w:themeFill="background1"/>
            <w:vAlign w:val="center"/>
          </w:tcPr>
          <w:p>
            <w:pPr>
              <w:rPr>
                <w:rFonts w:ascii="Times New Roman" w:hAnsi="Times New Roman" w:cs="Times New Roman"/>
                <w:sz w:val="18"/>
                <w:szCs w:val="18"/>
              </w:rPr>
            </w:pPr>
            <w:r>
              <w:rPr>
                <w:rFonts w:ascii="Times New Roman" w:hAnsi="Times New Roman" w:cs="Times New Roman"/>
                <w:sz w:val="18"/>
                <w:szCs w:val="18"/>
              </w:rPr>
              <w:t>高级产业经济学</w:t>
            </w:r>
          </w:p>
          <w:p>
            <w:pPr>
              <w:rPr>
                <w:rFonts w:ascii="Times New Roman" w:hAnsi="Times New Roman" w:cs="Times New Roman"/>
                <w:sz w:val="18"/>
                <w:szCs w:val="18"/>
              </w:rPr>
            </w:pPr>
            <w:r>
              <w:rPr>
                <w:rFonts w:ascii="Times New Roman" w:hAnsi="Times New Roman" w:cs="Times New Roman"/>
                <w:sz w:val="18"/>
                <w:szCs w:val="18"/>
              </w:rPr>
              <w:t>Advanced Industrial Economics</w:t>
            </w:r>
          </w:p>
        </w:tc>
        <w:tc>
          <w:tcPr>
            <w:tcW w:w="659" w:type="dxa"/>
            <w:tcBorders>
              <w:top w:val="single" w:color="auto" w:sz="6" w:space="0"/>
              <w:left w:val="single" w:color="auto" w:sz="6" w:space="0"/>
              <w:bottom w:val="single" w:color="auto" w:sz="6" w:space="0"/>
              <w:right w:val="single" w:color="auto" w:sz="6" w:space="0"/>
            </w:tcBorders>
            <w:shd w:val="clear" w:color="auto" w:fill="FFFFFF" w:themeFill="background1"/>
            <w:vAlign w:val="center"/>
          </w:tcPr>
          <w:p>
            <w:pPr>
              <w:jc w:val="center"/>
              <w:rPr>
                <w:rFonts w:ascii="Times New Roman" w:hAnsi="Times New Roman" w:cs="Times New Roman"/>
                <w:sz w:val="18"/>
                <w:szCs w:val="18"/>
              </w:rPr>
            </w:pPr>
            <w:r>
              <w:rPr>
                <w:rFonts w:ascii="Times New Roman" w:hAnsi="Times New Roman" w:cs="Times New Roman"/>
                <w:sz w:val="18"/>
                <w:szCs w:val="18"/>
              </w:rPr>
              <w:t>3</w:t>
            </w:r>
          </w:p>
        </w:tc>
        <w:tc>
          <w:tcPr>
            <w:tcW w:w="699" w:type="dxa"/>
            <w:tcBorders>
              <w:top w:val="single" w:color="auto" w:sz="6" w:space="0"/>
              <w:left w:val="single" w:color="auto" w:sz="6" w:space="0"/>
              <w:bottom w:val="single" w:color="auto" w:sz="6" w:space="0"/>
              <w:right w:val="single" w:color="auto" w:sz="6" w:space="0"/>
            </w:tcBorders>
            <w:shd w:val="clear" w:color="auto" w:fill="FFFFFF" w:themeFill="background1"/>
            <w:vAlign w:val="center"/>
          </w:tcPr>
          <w:p>
            <w:pPr>
              <w:jc w:val="center"/>
              <w:rPr>
                <w:rFonts w:ascii="Times New Roman" w:hAnsi="Times New Roman" w:cs="Times New Roman"/>
                <w:sz w:val="18"/>
                <w:szCs w:val="18"/>
              </w:rPr>
            </w:pPr>
            <w:r>
              <w:rPr>
                <w:rFonts w:ascii="Times New Roman" w:hAnsi="Times New Roman" w:cs="Times New Roman"/>
                <w:sz w:val="18"/>
                <w:szCs w:val="18"/>
              </w:rPr>
              <w:t>第一学年春季学期</w:t>
            </w:r>
          </w:p>
        </w:tc>
        <w:tc>
          <w:tcPr>
            <w:tcW w:w="831" w:type="dxa"/>
            <w:tcBorders>
              <w:top w:val="single" w:color="auto" w:sz="6" w:space="0"/>
              <w:left w:val="single" w:color="auto" w:sz="6" w:space="0"/>
              <w:bottom w:val="single" w:color="auto" w:sz="6" w:space="0"/>
              <w:right w:val="single" w:color="auto" w:sz="4" w:space="0"/>
            </w:tcBorders>
            <w:shd w:val="clear" w:color="auto" w:fill="FFFFFF" w:themeFill="background1"/>
          </w:tcPr>
          <w:p>
            <w:pPr>
              <w:jc w:val="center"/>
              <w:rPr>
                <w:rFonts w:ascii="Times New Roman" w:hAnsi="Times New Roman" w:cs="Times New Roman"/>
                <w:sz w:val="18"/>
                <w:szCs w:val="18"/>
              </w:rPr>
            </w:pPr>
            <w:r>
              <w:rPr>
                <w:rFonts w:ascii="Times New Roman" w:hAnsi="Times New Roman" w:cs="Times New Roman"/>
                <w:sz w:val="18"/>
                <w:szCs w:val="18"/>
              </w:rPr>
              <w:t>产业经济学必修，其他专业选修</w:t>
            </w:r>
          </w:p>
        </w:tc>
      </w:tr>
      <w:tr>
        <w:tblPrEx>
          <w:tblCellMar>
            <w:top w:w="0" w:type="dxa"/>
            <w:left w:w="108" w:type="dxa"/>
            <w:bottom w:w="0" w:type="dxa"/>
            <w:right w:w="108" w:type="dxa"/>
          </w:tblCellMar>
        </w:tblPrEx>
        <w:trPr>
          <w:jc w:val="center"/>
        </w:trPr>
        <w:tc>
          <w:tcPr>
            <w:tcW w:w="838" w:type="dxa"/>
            <w:vMerge w:val="continue"/>
            <w:tcBorders>
              <w:left w:val="single" w:color="auto" w:sz="4" w:space="0"/>
              <w:right w:val="single" w:color="auto" w:sz="6" w:space="0"/>
            </w:tcBorders>
            <w:vAlign w:val="center"/>
          </w:tcPr>
          <w:p>
            <w:pPr>
              <w:jc w:val="center"/>
              <w:rPr>
                <w:rFonts w:ascii="Times New Roman" w:hAnsi="Times New Roman" w:cs="Times New Roman"/>
                <w:szCs w:val="21"/>
              </w:rPr>
            </w:pPr>
          </w:p>
        </w:tc>
        <w:tc>
          <w:tcPr>
            <w:tcW w:w="1701" w:type="dxa"/>
            <w:tcBorders>
              <w:top w:val="single" w:color="auto" w:sz="6" w:space="0"/>
              <w:left w:val="single" w:color="auto" w:sz="6" w:space="0"/>
              <w:bottom w:val="single" w:color="auto" w:sz="6" w:space="0"/>
              <w:right w:val="single" w:color="auto" w:sz="6" w:space="0"/>
            </w:tcBorders>
            <w:shd w:val="clear" w:color="auto" w:fill="FFFFFF" w:themeFill="background1"/>
            <w:vAlign w:val="center"/>
          </w:tcPr>
          <w:p>
            <w:pPr>
              <w:rPr>
                <w:rFonts w:ascii="Times New Roman" w:hAnsi="Times New Roman" w:cs="Times New Roman"/>
                <w:sz w:val="18"/>
                <w:szCs w:val="18"/>
              </w:rPr>
            </w:pPr>
            <w:r>
              <w:rPr>
                <w:rFonts w:ascii="Times New Roman" w:hAnsi="Times New Roman" w:cs="Times New Roman"/>
                <w:sz w:val="18"/>
                <w:szCs w:val="18"/>
              </w:rPr>
              <w:t>AECO5611102039</w:t>
            </w:r>
          </w:p>
        </w:tc>
        <w:tc>
          <w:tcPr>
            <w:tcW w:w="4204" w:type="dxa"/>
            <w:tcBorders>
              <w:top w:val="single" w:color="auto" w:sz="6" w:space="0"/>
              <w:left w:val="single" w:color="auto" w:sz="6" w:space="0"/>
              <w:bottom w:val="single" w:color="auto" w:sz="6" w:space="0"/>
              <w:right w:val="single" w:color="auto" w:sz="6" w:space="0"/>
            </w:tcBorders>
            <w:shd w:val="clear" w:color="auto" w:fill="FFFFFF" w:themeFill="background1"/>
            <w:vAlign w:val="center"/>
          </w:tcPr>
          <w:p>
            <w:pPr>
              <w:rPr>
                <w:rFonts w:ascii="Times New Roman" w:hAnsi="Times New Roman" w:cs="Times New Roman"/>
                <w:kern w:val="0"/>
                <w:sz w:val="18"/>
                <w:szCs w:val="18"/>
              </w:rPr>
            </w:pPr>
            <w:r>
              <w:rPr>
                <w:rFonts w:ascii="Times New Roman" w:hAnsi="Times New Roman" w:cs="Times New Roman"/>
                <w:kern w:val="0"/>
                <w:sz w:val="18"/>
                <w:szCs w:val="18"/>
              </w:rPr>
              <w:t>国际贸易前沿专题</w:t>
            </w:r>
          </w:p>
          <w:p>
            <w:pPr>
              <w:rPr>
                <w:rFonts w:ascii="Times New Roman" w:hAnsi="Times New Roman" w:cs="Times New Roman"/>
                <w:sz w:val="18"/>
                <w:szCs w:val="18"/>
              </w:rPr>
            </w:pPr>
            <w:r>
              <w:rPr>
                <w:rFonts w:ascii="Times New Roman" w:hAnsi="Times New Roman" w:cs="Times New Roman"/>
                <w:sz w:val="18"/>
                <w:szCs w:val="18"/>
              </w:rPr>
              <w:t>Frontier Topics on</w:t>
            </w:r>
            <w:r>
              <w:rPr>
                <w:rFonts w:ascii="Times New Roman" w:hAnsi="Times New Roman" w:cs="Times New Roman"/>
                <w:kern w:val="0"/>
                <w:sz w:val="18"/>
                <w:szCs w:val="18"/>
              </w:rPr>
              <w:t xml:space="preserve"> International Trade</w:t>
            </w:r>
          </w:p>
        </w:tc>
        <w:tc>
          <w:tcPr>
            <w:tcW w:w="659" w:type="dxa"/>
            <w:tcBorders>
              <w:top w:val="single" w:color="auto" w:sz="6" w:space="0"/>
              <w:left w:val="single" w:color="auto" w:sz="6" w:space="0"/>
              <w:bottom w:val="single" w:color="auto" w:sz="6" w:space="0"/>
              <w:right w:val="single" w:color="auto" w:sz="6" w:space="0"/>
            </w:tcBorders>
            <w:shd w:val="clear" w:color="auto" w:fill="FFFFFF" w:themeFill="background1"/>
            <w:vAlign w:val="center"/>
          </w:tcPr>
          <w:p>
            <w:pPr>
              <w:jc w:val="center"/>
              <w:rPr>
                <w:rFonts w:ascii="Times New Roman" w:hAnsi="Times New Roman" w:cs="Times New Roman"/>
                <w:sz w:val="18"/>
                <w:szCs w:val="18"/>
              </w:rPr>
            </w:pPr>
            <w:r>
              <w:rPr>
                <w:rFonts w:ascii="Times New Roman" w:hAnsi="Times New Roman" w:cs="Times New Roman"/>
                <w:sz w:val="18"/>
                <w:szCs w:val="18"/>
              </w:rPr>
              <w:t>3</w:t>
            </w:r>
          </w:p>
        </w:tc>
        <w:tc>
          <w:tcPr>
            <w:tcW w:w="699" w:type="dxa"/>
            <w:tcBorders>
              <w:top w:val="single" w:color="auto" w:sz="6" w:space="0"/>
              <w:left w:val="single" w:color="auto" w:sz="6" w:space="0"/>
              <w:bottom w:val="single" w:color="auto" w:sz="6" w:space="0"/>
              <w:right w:val="single" w:color="auto" w:sz="6" w:space="0"/>
            </w:tcBorders>
            <w:shd w:val="clear" w:color="auto" w:fill="FFFFFF" w:themeFill="background1"/>
            <w:vAlign w:val="center"/>
          </w:tcPr>
          <w:p>
            <w:pPr>
              <w:jc w:val="center"/>
              <w:rPr>
                <w:rFonts w:ascii="Times New Roman" w:hAnsi="Times New Roman" w:cs="Times New Roman"/>
                <w:sz w:val="18"/>
                <w:szCs w:val="18"/>
              </w:rPr>
            </w:pPr>
            <w:r>
              <w:rPr>
                <w:rFonts w:ascii="Times New Roman" w:hAnsi="Times New Roman" w:cs="Times New Roman"/>
                <w:kern w:val="0"/>
                <w:sz w:val="18"/>
                <w:szCs w:val="18"/>
              </w:rPr>
              <w:t>第一学年春季学期</w:t>
            </w:r>
          </w:p>
        </w:tc>
        <w:tc>
          <w:tcPr>
            <w:tcW w:w="831" w:type="dxa"/>
            <w:tcBorders>
              <w:top w:val="single" w:color="auto" w:sz="6" w:space="0"/>
              <w:left w:val="single" w:color="auto" w:sz="6" w:space="0"/>
              <w:bottom w:val="single" w:color="auto" w:sz="6" w:space="0"/>
              <w:right w:val="single" w:color="auto" w:sz="4" w:space="0"/>
            </w:tcBorders>
            <w:shd w:val="clear" w:color="auto" w:fill="FFFFFF" w:themeFill="background1"/>
          </w:tcPr>
          <w:p>
            <w:pPr>
              <w:jc w:val="center"/>
              <w:rPr>
                <w:rFonts w:ascii="Times New Roman" w:hAnsi="Times New Roman" w:cs="Times New Roman"/>
                <w:sz w:val="18"/>
                <w:szCs w:val="18"/>
              </w:rPr>
            </w:pPr>
            <w:r>
              <w:rPr>
                <w:rFonts w:ascii="Times New Roman" w:hAnsi="Times New Roman" w:cs="Times New Roman"/>
                <w:sz w:val="18"/>
                <w:szCs w:val="18"/>
              </w:rPr>
              <w:t>国际贸易学必修，其他专业选修</w:t>
            </w:r>
          </w:p>
        </w:tc>
      </w:tr>
      <w:tr>
        <w:tblPrEx>
          <w:tblCellMar>
            <w:top w:w="0" w:type="dxa"/>
            <w:left w:w="108" w:type="dxa"/>
            <w:bottom w:w="0" w:type="dxa"/>
            <w:right w:w="108" w:type="dxa"/>
          </w:tblCellMar>
        </w:tblPrEx>
        <w:trPr>
          <w:jc w:val="center"/>
        </w:trPr>
        <w:tc>
          <w:tcPr>
            <w:tcW w:w="838" w:type="dxa"/>
            <w:vMerge w:val="continue"/>
            <w:tcBorders>
              <w:left w:val="single" w:color="auto" w:sz="4" w:space="0"/>
              <w:right w:val="single" w:color="auto" w:sz="6" w:space="0"/>
            </w:tcBorders>
            <w:vAlign w:val="center"/>
          </w:tcPr>
          <w:p>
            <w:pPr>
              <w:jc w:val="center"/>
              <w:rPr>
                <w:rFonts w:ascii="Times New Roman" w:hAnsi="Times New Roman" w:cs="Times New Roman"/>
                <w:szCs w:val="21"/>
              </w:rPr>
            </w:pPr>
          </w:p>
        </w:tc>
        <w:tc>
          <w:tcPr>
            <w:tcW w:w="1701" w:type="dxa"/>
            <w:tcBorders>
              <w:top w:val="single" w:color="auto" w:sz="6" w:space="0"/>
              <w:left w:val="single" w:color="auto" w:sz="6" w:space="0"/>
              <w:bottom w:val="single" w:color="auto" w:sz="6" w:space="0"/>
              <w:right w:val="single" w:color="auto" w:sz="6" w:space="0"/>
            </w:tcBorders>
            <w:shd w:val="clear" w:color="auto" w:fill="FFFFFF" w:themeFill="background1"/>
            <w:vAlign w:val="center"/>
          </w:tcPr>
          <w:p>
            <w:pPr>
              <w:rPr>
                <w:rFonts w:ascii="Times New Roman" w:hAnsi="Times New Roman" w:cs="Times New Roman"/>
                <w:sz w:val="18"/>
                <w:szCs w:val="18"/>
              </w:rPr>
            </w:pPr>
            <w:r>
              <w:rPr>
                <w:rFonts w:ascii="Times New Roman" w:hAnsi="Times New Roman" w:cs="Times New Roman"/>
                <w:sz w:val="18"/>
                <w:szCs w:val="18"/>
              </w:rPr>
              <w:t>GEOG3311102004</w:t>
            </w:r>
          </w:p>
        </w:tc>
        <w:tc>
          <w:tcPr>
            <w:tcW w:w="4204" w:type="dxa"/>
            <w:tcBorders>
              <w:top w:val="single" w:color="auto" w:sz="6" w:space="0"/>
              <w:left w:val="single" w:color="auto" w:sz="6" w:space="0"/>
              <w:bottom w:val="single" w:color="auto" w:sz="6" w:space="0"/>
              <w:right w:val="single" w:color="auto" w:sz="6" w:space="0"/>
            </w:tcBorders>
            <w:shd w:val="clear" w:color="auto" w:fill="FFFFFF" w:themeFill="background1"/>
            <w:vAlign w:val="center"/>
          </w:tcPr>
          <w:p>
            <w:pPr>
              <w:rPr>
                <w:rFonts w:ascii="Times New Roman" w:hAnsi="Times New Roman" w:cs="Times New Roman"/>
                <w:sz w:val="18"/>
                <w:szCs w:val="18"/>
              </w:rPr>
            </w:pPr>
            <w:r>
              <w:rPr>
                <w:rStyle w:val="40"/>
                <w:rFonts w:ascii="Times New Roman" w:hAnsi="Times New Roman" w:cs="Times New Roman"/>
                <w:sz w:val="18"/>
                <w:szCs w:val="18"/>
                <w:lang w:val="zh-TW" w:eastAsia="zh-TW"/>
              </w:rPr>
              <w:t>区域科学研究方法</w:t>
            </w:r>
          </w:p>
          <w:p>
            <w:pPr>
              <w:rPr>
                <w:rStyle w:val="40"/>
                <w:rFonts w:ascii="Times New Roman" w:hAnsi="Times New Roman" w:cs="Times New Roman"/>
                <w:lang w:val="zh-TW" w:eastAsia="zh-TW"/>
              </w:rPr>
            </w:pPr>
            <w:r>
              <w:rPr>
                <w:rStyle w:val="40"/>
                <w:rFonts w:ascii="Times New Roman" w:hAnsi="Times New Roman" w:cs="Times New Roman"/>
                <w:sz w:val="18"/>
                <w:szCs w:val="18"/>
              </w:rPr>
              <w:t>Methodology of Regional Research</w:t>
            </w:r>
          </w:p>
        </w:tc>
        <w:tc>
          <w:tcPr>
            <w:tcW w:w="659" w:type="dxa"/>
            <w:tcBorders>
              <w:top w:val="single" w:color="auto" w:sz="6" w:space="0"/>
              <w:left w:val="single" w:color="auto" w:sz="6" w:space="0"/>
              <w:bottom w:val="single" w:color="auto" w:sz="6" w:space="0"/>
              <w:right w:val="single" w:color="auto" w:sz="6" w:space="0"/>
            </w:tcBorders>
            <w:shd w:val="clear" w:color="auto" w:fill="FFFFFF" w:themeFill="background1"/>
            <w:vAlign w:val="center"/>
          </w:tcPr>
          <w:p>
            <w:pPr>
              <w:jc w:val="center"/>
              <w:rPr>
                <w:rFonts w:ascii="Times New Roman" w:hAnsi="Times New Roman" w:cs="Times New Roman"/>
                <w:sz w:val="18"/>
                <w:szCs w:val="18"/>
              </w:rPr>
            </w:pPr>
            <w:r>
              <w:rPr>
                <w:rFonts w:ascii="Times New Roman" w:hAnsi="Times New Roman" w:cs="Times New Roman"/>
                <w:sz w:val="18"/>
                <w:szCs w:val="18"/>
              </w:rPr>
              <w:t>2</w:t>
            </w:r>
          </w:p>
        </w:tc>
        <w:tc>
          <w:tcPr>
            <w:tcW w:w="699" w:type="dxa"/>
            <w:tcBorders>
              <w:top w:val="single" w:color="auto" w:sz="6" w:space="0"/>
              <w:left w:val="single" w:color="auto" w:sz="6" w:space="0"/>
              <w:bottom w:val="single" w:color="auto" w:sz="6" w:space="0"/>
              <w:right w:val="single" w:color="auto" w:sz="6" w:space="0"/>
            </w:tcBorders>
            <w:shd w:val="clear" w:color="auto" w:fill="FFFFFF" w:themeFill="background1"/>
            <w:vAlign w:val="center"/>
          </w:tcPr>
          <w:p>
            <w:pPr>
              <w:jc w:val="center"/>
              <w:rPr>
                <w:rFonts w:ascii="Times New Roman" w:hAnsi="Times New Roman" w:cs="Times New Roman"/>
                <w:sz w:val="18"/>
                <w:szCs w:val="18"/>
              </w:rPr>
            </w:pPr>
            <w:r>
              <w:rPr>
                <w:rFonts w:ascii="Times New Roman" w:hAnsi="Times New Roman" w:cs="Times New Roman"/>
                <w:sz w:val="18"/>
                <w:szCs w:val="18"/>
              </w:rPr>
              <w:t>第一学年春季学期</w:t>
            </w:r>
          </w:p>
        </w:tc>
        <w:tc>
          <w:tcPr>
            <w:tcW w:w="831" w:type="dxa"/>
            <w:tcBorders>
              <w:top w:val="single" w:color="auto" w:sz="6" w:space="0"/>
              <w:left w:val="single" w:color="auto" w:sz="6" w:space="0"/>
              <w:bottom w:val="single" w:color="auto" w:sz="6" w:space="0"/>
              <w:right w:val="single" w:color="auto" w:sz="4" w:space="0"/>
            </w:tcBorders>
            <w:shd w:val="clear" w:color="auto" w:fill="FFFFFF" w:themeFill="background1"/>
          </w:tcPr>
          <w:p>
            <w:pPr>
              <w:jc w:val="center"/>
              <w:rPr>
                <w:rFonts w:ascii="Times New Roman" w:hAnsi="Times New Roman" w:cs="Times New Roman"/>
                <w:sz w:val="18"/>
                <w:szCs w:val="18"/>
              </w:rPr>
            </w:pPr>
            <w:r>
              <w:rPr>
                <w:rFonts w:ascii="Times New Roman" w:hAnsi="Times New Roman" w:cs="Times New Roman"/>
                <w:sz w:val="18"/>
                <w:szCs w:val="18"/>
              </w:rPr>
              <w:t xml:space="preserve">城市与区域科学学院区域经济学必修 </w:t>
            </w:r>
          </w:p>
        </w:tc>
      </w:tr>
      <w:tr>
        <w:tblPrEx>
          <w:tblCellMar>
            <w:top w:w="0" w:type="dxa"/>
            <w:left w:w="108" w:type="dxa"/>
            <w:bottom w:w="0" w:type="dxa"/>
            <w:right w:w="108" w:type="dxa"/>
          </w:tblCellMar>
        </w:tblPrEx>
        <w:trPr>
          <w:jc w:val="center"/>
        </w:trPr>
        <w:tc>
          <w:tcPr>
            <w:tcW w:w="838" w:type="dxa"/>
            <w:vMerge w:val="continue"/>
            <w:tcBorders>
              <w:left w:val="single" w:color="auto" w:sz="4" w:space="0"/>
              <w:right w:val="single" w:color="auto" w:sz="6" w:space="0"/>
            </w:tcBorders>
            <w:vAlign w:val="center"/>
          </w:tcPr>
          <w:p>
            <w:pPr>
              <w:jc w:val="center"/>
              <w:rPr>
                <w:rFonts w:ascii="Times New Roman" w:hAnsi="Times New Roman" w:cs="Times New Roman"/>
                <w:szCs w:val="21"/>
              </w:rPr>
            </w:pPr>
          </w:p>
        </w:tc>
        <w:tc>
          <w:tcPr>
            <w:tcW w:w="1701" w:type="dxa"/>
            <w:tcBorders>
              <w:top w:val="single" w:color="auto" w:sz="6" w:space="0"/>
              <w:left w:val="single" w:color="auto" w:sz="6" w:space="0"/>
              <w:bottom w:val="single" w:color="auto" w:sz="6" w:space="0"/>
              <w:right w:val="single" w:color="auto" w:sz="6" w:space="0"/>
            </w:tcBorders>
            <w:shd w:val="clear" w:color="auto" w:fill="FFFFFF" w:themeFill="background1"/>
            <w:vAlign w:val="center"/>
          </w:tcPr>
          <w:p>
            <w:pPr>
              <w:rPr>
                <w:rFonts w:ascii="Times New Roman" w:hAnsi="Times New Roman" w:cs="Times New Roman"/>
                <w:sz w:val="18"/>
                <w:szCs w:val="18"/>
              </w:rPr>
            </w:pPr>
            <w:r>
              <w:rPr>
                <w:rFonts w:ascii="Times New Roman" w:hAnsi="Times New Roman" w:cs="Times New Roman"/>
                <w:sz w:val="18"/>
                <w:szCs w:val="18"/>
              </w:rPr>
              <w:t>AECO3311102007</w:t>
            </w:r>
          </w:p>
        </w:tc>
        <w:tc>
          <w:tcPr>
            <w:tcW w:w="4204" w:type="dxa"/>
            <w:tcBorders>
              <w:top w:val="single" w:color="auto" w:sz="6" w:space="0"/>
              <w:left w:val="single" w:color="auto" w:sz="6" w:space="0"/>
              <w:bottom w:val="single" w:color="auto" w:sz="6" w:space="0"/>
              <w:right w:val="single" w:color="auto" w:sz="6" w:space="0"/>
            </w:tcBorders>
            <w:shd w:val="clear" w:color="auto" w:fill="FFFFFF" w:themeFill="background1"/>
            <w:vAlign w:val="center"/>
          </w:tcPr>
          <w:p>
            <w:pPr>
              <w:rPr>
                <w:rFonts w:ascii="Times New Roman" w:hAnsi="Times New Roman" w:cs="Times New Roman"/>
                <w:sz w:val="18"/>
                <w:szCs w:val="18"/>
              </w:rPr>
            </w:pPr>
            <w:r>
              <w:rPr>
                <w:rStyle w:val="40"/>
                <w:rFonts w:ascii="Times New Roman" w:hAnsi="Times New Roman" w:cs="Times New Roman"/>
                <w:sz w:val="18"/>
                <w:szCs w:val="18"/>
                <w:lang w:val="zh-TW" w:eastAsia="zh-TW"/>
              </w:rPr>
              <w:t>区域经济学前沿</w:t>
            </w:r>
          </w:p>
          <w:p>
            <w:pPr>
              <w:rPr>
                <w:rStyle w:val="40"/>
                <w:rFonts w:ascii="Times New Roman" w:hAnsi="Times New Roman" w:cs="Times New Roman"/>
                <w:color w:val="FF0000"/>
                <w:lang w:val="zh-TW" w:eastAsia="zh-TW"/>
              </w:rPr>
            </w:pPr>
            <w:r>
              <w:rPr>
                <w:rStyle w:val="40"/>
                <w:rFonts w:ascii="Times New Roman" w:hAnsi="Times New Roman" w:cs="Times New Roman"/>
                <w:sz w:val="18"/>
                <w:szCs w:val="18"/>
              </w:rPr>
              <w:t>Frontier of Regional Economy</w:t>
            </w:r>
          </w:p>
        </w:tc>
        <w:tc>
          <w:tcPr>
            <w:tcW w:w="659" w:type="dxa"/>
            <w:tcBorders>
              <w:top w:val="single" w:color="auto" w:sz="6" w:space="0"/>
              <w:left w:val="single" w:color="auto" w:sz="6" w:space="0"/>
              <w:bottom w:val="single" w:color="auto" w:sz="6" w:space="0"/>
              <w:right w:val="single" w:color="auto" w:sz="6" w:space="0"/>
            </w:tcBorders>
            <w:shd w:val="clear" w:color="auto" w:fill="FFFFFF" w:themeFill="background1"/>
            <w:vAlign w:val="center"/>
          </w:tcPr>
          <w:p>
            <w:pPr>
              <w:jc w:val="center"/>
              <w:rPr>
                <w:rFonts w:ascii="Times New Roman" w:hAnsi="Times New Roman" w:cs="Times New Roman"/>
                <w:color w:val="FF0000"/>
                <w:sz w:val="18"/>
                <w:szCs w:val="18"/>
              </w:rPr>
            </w:pPr>
            <w:r>
              <w:rPr>
                <w:rFonts w:ascii="Times New Roman" w:hAnsi="Times New Roman" w:cs="Times New Roman"/>
                <w:sz w:val="18"/>
                <w:szCs w:val="18"/>
              </w:rPr>
              <w:t>2</w:t>
            </w:r>
          </w:p>
        </w:tc>
        <w:tc>
          <w:tcPr>
            <w:tcW w:w="699" w:type="dxa"/>
            <w:tcBorders>
              <w:top w:val="single" w:color="auto" w:sz="6" w:space="0"/>
              <w:left w:val="single" w:color="auto" w:sz="6" w:space="0"/>
              <w:bottom w:val="single" w:color="auto" w:sz="6" w:space="0"/>
              <w:right w:val="single" w:color="auto" w:sz="6" w:space="0"/>
            </w:tcBorders>
            <w:shd w:val="clear" w:color="auto" w:fill="FFFFFF" w:themeFill="background1"/>
            <w:vAlign w:val="center"/>
          </w:tcPr>
          <w:p>
            <w:pPr>
              <w:jc w:val="center"/>
              <w:rPr>
                <w:rFonts w:ascii="Times New Roman" w:hAnsi="Times New Roman" w:cs="Times New Roman"/>
                <w:sz w:val="18"/>
                <w:szCs w:val="18"/>
              </w:rPr>
            </w:pPr>
            <w:r>
              <w:rPr>
                <w:rFonts w:ascii="Times New Roman" w:hAnsi="Times New Roman" w:cs="Times New Roman"/>
                <w:sz w:val="18"/>
                <w:szCs w:val="18"/>
              </w:rPr>
              <w:t>第一学年春季学期</w:t>
            </w:r>
          </w:p>
        </w:tc>
        <w:tc>
          <w:tcPr>
            <w:tcW w:w="831" w:type="dxa"/>
            <w:tcBorders>
              <w:top w:val="single" w:color="auto" w:sz="6" w:space="0"/>
              <w:left w:val="single" w:color="auto" w:sz="6" w:space="0"/>
              <w:bottom w:val="single" w:color="auto" w:sz="6" w:space="0"/>
              <w:right w:val="single" w:color="auto" w:sz="4" w:space="0"/>
            </w:tcBorders>
            <w:shd w:val="clear" w:color="auto" w:fill="FFFFFF" w:themeFill="background1"/>
          </w:tcPr>
          <w:p>
            <w:pPr>
              <w:jc w:val="center"/>
              <w:rPr>
                <w:rFonts w:ascii="Times New Roman" w:hAnsi="Times New Roman" w:cs="Times New Roman"/>
                <w:color w:val="FF0000"/>
                <w:sz w:val="18"/>
                <w:szCs w:val="18"/>
              </w:rPr>
            </w:pPr>
            <w:r>
              <w:rPr>
                <w:rFonts w:ascii="Times New Roman" w:hAnsi="Times New Roman" w:cs="Times New Roman"/>
                <w:sz w:val="18"/>
                <w:szCs w:val="18"/>
              </w:rPr>
              <w:t>城市与区域科学学院区域经济学必修</w:t>
            </w:r>
            <w:r>
              <w:rPr>
                <w:rFonts w:ascii="Times New Roman" w:hAnsi="Times New Roman" w:cs="Times New Roman"/>
                <w:color w:val="FF0000"/>
                <w:sz w:val="18"/>
                <w:szCs w:val="18"/>
              </w:rPr>
              <w:t xml:space="preserve"> </w:t>
            </w:r>
          </w:p>
        </w:tc>
      </w:tr>
      <w:tr>
        <w:tblPrEx>
          <w:tblCellMar>
            <w:top w:w="0" w:type="dxa"/>
            <w:left w:w="108" w:type="dxa"/>
            <w:bottom w:w="0" w:type="dxa"/>
            <w:right w:w="108" w:type="dxa"/>
          </w:tblCellMar>
        </w:tblPrEx>
        <w:trPr>
          <w:jc w:val="center"/>
        </w:trPr>
        <w:tc>
          <w:tcPr>
            <w:tcW w:w="838" w:type="dxa"/>
            <w:vMerge w:val="continue"/>
            <w:tcBorders>
              <w:left w:val="single" w:color="auto" w:sz="4" w:space="0"/>
              <w:right w:val="single" w:color="auto" w:sz="6" w:space="0"/>
            </w:tcBorders>
            <w:vAlign w:val="center"/>
          </w:tcPr>
          <w:p>
            <w:pPr>
              <w:jc w:val="center"/>
              <w:rPr>
                <w:rFonts w:ascii="Times New Roman" w:hAnsi="Times New Roman" w:cs="Times New Roman"/>
                <w:szCs w:val="21"/>
              </w:rPr>
            </w:pPr>
          </w:p>
        </w:tc>
        <w:tc>
          <w:tcPr>
            <w:tcW w:w="1701" w:type="dxa"/>
            <w:tcBorders>
              <w:top w:val="single" w:color="auto" w:sz="6" w:space="0"/>
              <w:left w:val="single" w:color="auto" w:sz="6" w:space="0"/>
              <w:bottom w:val="single" w:color="auto" w:sz="6" w:space="0"/>
              <w:right w:val="single" w:color="auto" w:sz="6" w:space="0"/>
            </w:tcBorders>
            <w:shd w:val="clear" w:color="auto" w:fill="FFFFFF" w:themeFill="background1"/>
            <w:vAlign w:val="center"/>
          </w:tcPr>
          <w:p>
            <w:pPr>
              <w:rPr>
                <w:rFonts w:ascii="Times New Roman" w:hAnsi="Times New Roman" w:cs="Times New Roman"/>
                <w:sz w:val="18"/>
                <w:szCs w:val="18"/>
              </w:rPr>
            </w:pPr>
            <w:r>
              <w:rPr>
                <w:rFonts w:ascii="Times New Roman" w:hAnsi="Times New Roman" w:cs="Times New Roman"/>
                <w:sz w:val="18"/>
                <w:szCs w:val="18"/>
              </w:rPr>
              <w:t>GEOG3311102015</w:t>
            </w:r>
          </w:p>
        </w:tc>
        <w:tc>
          <w:tcPr>
            <w:tcW w:w="4204" w:type="dxa"/>
            <w:tcBorders>
              <w:top w:val="single" w:color="auto" w:sz="6" w:space="0"/>
              <w:left w:val="single" w:color="auto" w:sz="6" w:space="0"/>
              <w:bottom w:val="single" w:color="auto" w:sz="6" w:space="0"/>
              <w:right w:val="single" w:color="auto" w:sz="6" w:space="0"/>
            </w:tcBorders>
            <w:shd w:val="clear" w:color="auto" w:fill="FFFFFF" w:themeFill="background1"/>
            <w:vAlign w:val="center"/>
          </w:tcPr>
          <w:p>
            <w:pPr>
              <w:rPr>
                <w:rFonts w:ascii="Times New Roman" w:hAnsi="Times New Roman" w:cs="Times New Roman"/>
                <w:sz w:val="18"/>
                <w:szCs w:val="18"/>
              </w:rPr>
            </w:pPr>
            <w:r>
              <w:rPr>
                <w:rStyle w:val="40"/>
                <w:rFonts w:ascii="Times New Roman" w:hAnsi="Times New Roman" w:cs="Times New Roman"/>
                <w:sz w:val="18"/>
                <w:szCs w:val="18"/>
                <w:lang w:val="zh-TW" w:eastAsia="zh-TW"/>
              </w:rPr>
              <w:t>经济地理前沿</w:t>
            </w:r>
          </w:p>
          <w:p>
            <w:pPr>
              <w:rPr>
                <w:rStyle w:val="40"/>
                <w:rFonts w:ascii="Times New Roman" w:hAnsi="Times New Roman" w:cs="Times New Roman"/>
                <w:lang w:val="zh-TW" w:eastAsia="zh-TW"/>
              </w:rPr>
            </w:pPr>
            <w:r>
              <w:rPr>
                <w:rStyle w:val="40"/>
                <w:rFonts w:ascii="Times New Roman" w:hAnsi="Times New Roman" w:cs="Times New Roman"/>
                <w:sz w:val="18"/>
                <w:szCs w:val="18"/>
              </w:rPr>
              <w:t>Advanced Economic Geography</w:t>
            </w:r>
          </w:p>
        </w:tc>
        <w:tc>
          <w:tcPr>
            <w:tcW w:w="659" w:type="dxa"/>
            <w:tcBorders>
              <w:top w:val="single" w:color="auto" w:sz="6" w:space="0"/>
              <w:left w:val="single" w:color="auto" w:sz="6" w:space="0"/>
              <w:bottom w:val="single" w:color="auto" w:sz="6" w:space="0"/>
              <w:right w:val="single" w:color="auto" w:sz="6" w:space="0"/>
            </w:tcBorders>
            <w:shd w:val="clear" w:color="auto" w:fill="FFFFFF" w:themeFill="background1"/>
            <w:vAlign w:val="center"/>
          </w:tcPr>
          <w:p>
            <w:pPr>
              <w:jc w:val="center"/>
              <w:rPr>
                <w:rFonts w:ascii="Times New Roman" w:hAnsi="Times New Roman" w:cs="Times New Roman"/>
                <w:sz w:val="18"/>
                <w:szCs w:val="18"/>
              </w:rPr>
            </w:pPr>
            <w:r>
              <w:rPr>
                <w:rFonts w:ascii="Times New Roman" w:hAnsi="Times New Roman" w:cs="Times New Roman"/>
                <w:sz w:val="18"/>
                <w:szCs w:val="18"/>
              </w:rPr>
              <w:t>3</w:t>
            </w:r>
          </w:p>
        </w:tc>
        <w:tc>
          <w:tcPr>
            <w:tcW w:w="699" w:type="dxa"/>
            <w:tcBorders>
              <w:top w:val="single" w:color="auto" w:sz="6" w:space="0"/>
              <w:left w:val="single" w:color="auto" w:sz="6" w:space="0"/>
              <w:bottom w:val="single" w:color="auto" w:sz="6" w:space="0"/>
              <w:right w:val="single" w:color="auto" w:sz="6" w:space="0"/>
            </w:tcBorders>
            <w:shd w:val="clear" w:color="auto" w:fill="FFFFFF" w:themeFill="background1"/>
            <w:vAlign w:val="center"/>
          </w:tcPr>
          <w:p>
            <w:pPr>
              <w:jc w:val="center"/>
              <w:rPr>
                <w:rFonts w:ascii="Times New Roman" w:hAnsi="Times New Roman" w:cs="Times New Roman"/>
                <w:sz w:val="18"/>
                <w:szCs w:val="18"/>
              </w:rPr>
            </w:pPr>
            <w:r>
              <w:rPr>
                <w:rFonts w:ascii="Times New Roman" w:hAnsi="Times New Roman" w:cs="Times New Roman"/>
                <w:sz w:val="18"/>
                <w:szCs w:val="18"/>
              </w:rPr>
              <w:t>第一学年春季学期</w:t>
            </w:r>
          </w:p>
        </w:tc>
        <w:tc>
          <w:tcPr>
            <w:tcW w:w="831" w:type="dxa"/>
            <w:tcBorders>
              <w:top w:val="single" w:color="auto" w:sz="6" w:space="0"/>
              <w:left w:val="single" w:color="auto" w:sz="6" w:space="0"/>
              <w:bottom w:val="single" w:color="auto" w:sz="6" w:space="0"/>
              <w:right w:val="single" w:color="auto" w:sz="4" w:space="0"/>
            </w:tcBorders>
            <w:shd w:val="clear" w:color="auto" w:fill="FFFFFF" w:themeFill="background1"/>
          </w:tcPr>
          <w:p>
            <w:pPr>
              <w:jc w:val="center"/>
              <w:rPr>
                <w:rFonts w:ascii="Times New Roman" w:hAnsi="Times New Roman" w:cs="Times New Roman"/>
                <w:sz w:val="18"/>
                <w:szCs w:val="18"/>
              </w:rPr>
            </w:pPr>
            <w:r>
              <w:rPr>
                <w:rFonts w:ascii="Times New Roman" w:hAnsi="Times New Roman" w:cs="Times New Roman"/>
                <w:sz w:val="18"/>
                <w:szCs w:val="18"/>
              </w:rPr>
              <w:t>城市与区域科学学院区域经济学必修</w:t>
            </w:r>
          </w:p>
        </w:tc>
      </w:tr>
      <w:tr>
        <w:tblPrEx>
          <w:tblCellMar>
            <w:top w:w="0" w:type="dxa"/>
            <w:left w:w="108" w:type="dxa"/>
            <w:bottom w:w="0" w:type="dxa"/>
            <w:right w:w="108" w:type="dxa"/>
          </w:tblCellMar>
        </w:tblPrEx>
        <w:trPr>
          <w:jc w:val="center"/>
        </w:trPr>
        <w:tc>
          <w:tcPr>
            <w:tcW w:w="838" w:type="dxa"/>
            <w:vMerge w:val="continue"/>
            <w:tcBorders>
              <w:left w:val="single" w:color="auto" w:sz="4" w:space="0"/>
              <w:bottom w:val="single" w:color="auto" w:sz="4" w:space="0"/>
              <w:right w:val="single" w:color="auto" w:sz="6" w:space="0"/>
            </w:tcBorders>
            <w:vAlign w:val="center"/>
          </w:tcPr>
          <w:p>
            <w:pPr>
              <w:jc w:val="center"/>
              <w:rPr>
                <w:rFonts w:ascii="Times New Roman" w:hAnsi="Times New Roman" w:cs="Times New Roman"/>
                <w:szCs w:val="21"/>
              </w:rPr>
            </w:pPr>
          </w:p>
        </w:tc>
        <w:tc>
          <w:tcPr>
            <w:tcW w:w="8094" w:type="dxa"/>
            <w:gridSpan w:val="5"/>
            <w:tcBorders>
              <w:top w:val="single" w:color="auto" w:sz="6" w:space="0"/>
              <w:left w:val="single" w:color="auto" w:sz="6" w:space="0"/>
              <w:bottom w:val="single" w:color="auto" w:sz="6" w:space="0"/>
              <w:right w:val="single" w:color="auto" w:sz="4" w:space="0"/>
            </w:tcBorders>
          </w:tcPr>
          <w:p>
            <w:pPr>
              <w:jc w:val="center"/>
              <w:rPr>
                <w:rFonts w:ascii="Times New Roman" w:hAnsi="Times New Roman" w:cs="Times New Roman"/>
                <w:sz w:val="18"/>
                <w:szCs w:val="18"/>
              </w:rPr>
            </w:pPr>
            <w:r>
              <w:rPr>
                <w:rFonts w:ascii="Times New Roman" w:hAnsi="Times New Roman" w:cs="Times New Roman"/>
                <w:b/>
                <w:sz w:val="18"/>
                <w:szCs w:val="18"/>
              </w:rPr>
              <w:t>学分要求</w:t>
            </w:r>
            <w:r>
              <w:rPr>
                <w:rFonts w:ascii="Times New Roman" w:hAnsi="Times New Roman" w:cs="Times New Roman"/>
                <w:sz w:val="18"/>
                <w:szCs w:val="18"/>
              </w:rPr>
              <w:t>：≥</w:t>
            </w:r>
            <w:r>
              <w:rPr>
                <w:rFonts w:hint="eastAsia" w:ascii="Times New Roman" w:hAnsi="Times New Roman" w:cs="Times New Roman"/>
                <w:sz w:val="18"/>
                <w:szCs w:val="18"/>
              </w:rPr>
              <w:t>6</w:t>
            </w:r>
            <w:r>
              <w:rPr>
                <w:rFonts w:ascii="Times New Roman" w:hAnsi="Times New Roman" w:cs="Times New Roman"/>
                <w:sz w:val="18"/>
                <w:szCs w:val="18"/>
              </w:rPr>
              <w:t>学分</w:t>
            </w:r>
          </w:p>
        </w:tc>
      </w:tr>
      <w:tr>
        <w:tblPrEx>
          <w:tblCellMar>
            <w:top w:w="0" w:type="dxa"/>
            <w:left w:w="108" w:type="dxa"/>
            <w:bottom w:w="0" w:type="dxa"/>
            <w:right w:w="108" w:type="dxa"/>
          </w:tblCellMar>
        </w:tblPrEx>
        <w:trPr>
          <w:jc w:val="center"/>
        </w:trPr>
        <w:tc>
          <w:tcPr>
            <w:tcW w:w="838"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b/>
                <w:szCs w:val="21"/>
              </w:rPr>
              <w:t>学位专业课（选修）</w:t>
            </w:r>
          </w:p>
          <w:p>
            <w:pPr>
              <w:jc w:val="center"/>
              <w:rPr>
                <w:rFonts w:ascii="Times New Roman" w:hAnsi="Times New Roman" w:cs="Times New Roman"/>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Times New Roman" w:hAnsi="Times New Roman" w:cs="Times New Roman"/>
                <w:sz w:val="18"/>
                <w:szCs w:val="18"/>
              </w:rPr>
            </w:pPr>
            <w:r>
              <w:rPr>
                <w:rFonts w:ascii="Times New Roman" w:hAnsi="Times New Roman" w:cs="Times New Roman"/>
                <w:sz w:val="18"/>
                <w:szCs w:val="18"/>
              </w:rPr>
              <w:t>AECO5611102046</w:t>
            </w:r>
          </w:p>
        </w:tc>
        <w:tc>
          <w:tcPr>
            <w:tcW w:w="420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Times New Roman" w:hAnsi="Times New Roman" w:cs="Times New Roman"/>
                <w:sz w:val="18"/>
                <w:szCs w:val="18"/>
              </w:rPr>
            </w:pPr>
            <w:r>
              <w:rPr>
                <w:rFonts w:ascii="Times New Roman" w:hAnsi="Times New Roman" w:eastAsia="宋体" w:cs="Times New Roman"/>
                <w:kern w:val="0"/>
                <w:sz w:val="18"/>
                <w:szCs w:val="18"/>
              </w:rPr>
              <w:t>西方经济学流派</w:t>
            </w:r>
          </w:p>
          <w:p>
            <w:pPr>
              <w:rPr>
                <w:rFonts w:ascii="Times New Roman" w:hAnsi="Times New Roman" w:cs="Times New Roman"/>
                <w:sz w:val="18"/>
                <w:szCs w:val="18"/>
              </w:rPr>
            </w:pPr>
            <w:r>
              <w:rPr>
                <w:rFonts w:ascii="Times New Roman" w:hAnsi="Times New Roman" w:cs="Times New Roman"/>
                <w:sz w:val="18"/>
                <w:szCs w:val="18"/>
              </w:rPr>
              <w:t>Schools of Western Economics</w:t>
            </w:r>
          </w:p>
        </w:tc>
        <w:tc>
          <w:tcPr>
            <w:tcW w:w="659" w:type="dxa"/>
            <w:tcBorders>
              <w:top w:val="single" w:color="auto" w:sz="6" w:space="0"/>
              <w:left w:val="single" w:color="auto" w:sz="4" w:space="0"/>
              <w:bottom w:val="single" w:color="auto" w:sz="6" w:space="0"/>
              <w:right w:val="single" w:color="auto" w:sz="6" w:space="0"/>
            </w:tcBorders>
            <w:shd w:val="clear" w:color="auto" w:fill="FFFFFF" w:themeFill="background1"/>
            <w:vAlign w:val="center"/>
          </w:tcPr>
          <w:p>
            <w:pPr>
              <w:jc w:val="center"/>
              <w:rPr>
                <w:rFonts w:ascii="Times New Roman" w:hAnsi="Times New Roman" w:cs="Times New Roman"/>
                <w:sz w:val="18"/>
                <w:szCs w:val="18"/>
              </w:rPr>
            </w:pPr>
            <w:r>
              <w:rPr>
                <w:rFonts w:ascii="Times New Roman" w:hAnsi="Times New Roman" w:cs="Times New Roman"/>
                <w:sz w:val="18"/>
                <w:szCs w:val="18"/>
              </w:rPr>
              <w:t>2</w:t>
            </w:r>
          </w:p>
        </w:tc>
        <w:tc>
          <w:tcPr>
            <w:tcW w:w="699" w:type="dxa"/>
            <w:tcBorders>
              <w:top w:val="single" w:color="auto" w:sz="6" w:space="0"/>
              <w:left w:val="single" w:color="auto" w:sz="6" w:space="0"/>
              <w:bottom w:val="single" w:color="auto" w:sz="6" w:space="0"/>
              <w:right w:val="single" w:color="auto" w:sz="6" w:space="0"/>
            </w:tcBorders>
            <w:shd w:val="clear" w:color="auto" w:fill="FFFFFF" w:themeFill="background1"/>
            <w:vAlign w:val="center"/>
          </w:tcPr>
          <w:p>
            <w:pPr>
              <w:jc w:val="center"/>
              <w:rPr>
                <w:rFonts w:ascii="Times New Roman" w:hAnsi="Times New Roman" w:cs="Times New Roman"/>
                <w:sz w:val="18"/>
                <w:szCs w:val="18"/>
              </w:rPr>
            </w:pPr>
            <w:r>
              <w:rPr>
                <w:rFonts w:ascii="Times New Roman" w:hAnsi="Times New Roman" w:cs="Times New Roman"/>
                <w:sz w:val="18"/>
                <w:szCs w:val="18"/>
              </w:rPr>
              <w:t>第二学年秋季学期</w:t>
            </w:r>
          </w:p>
        </w:tc>
        <w:tc>
          <w:tcPr>
            <w:tcW w:w="831" w:type="dxa"/>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cs="Times New Roman"/>
                <w:sz w:val="18"/>
                <w:szCs w:val="18"/>
              </w:rPr>
            </w:pPr>
          </w:p>
        </w:tc>
      </w:tr>
      <w:tr>
        <w:tblPrEx>
          <w:tblCellMar>
            <w:top w:w="0" w:type="dxa"/>
            <w:left w:w="108" w:type="dxa"/>
            <w:bottom w:w="0" w:type="dxa"/>
            <w:right w:w="108" w:type="dxa"/>
          </w:tblCellMar>
        </w:tblPrEx>
        <w:trPr>
          <w:jc w:val="center"/>
        </w:trPr>
        <w:tc>
          <w:tcPr>
            <w:tcW w:w="838" w:type="dxa"/>
            <w:vMerge w:val="continue"/>
            <w:tcBorders>
              <w:left w:val="single" w:color="auto" w:sz="4" w:space="0"/>
              <w:right w:val="single" w:color="auto" w:sz="4" w:space="0"/>
            </w:tcBorders>
            <w:vAlign w:val="center"/>
          </w:tcPr>
          <w:p>
            <w:pPr>
              <w:jc w:val="center"/>
              <w:rPr>
                <w:rFonts w:ascii="Times New Roman" w:hAnsi="Times New Roman" w:cs="Times New Roman"/>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Times New Roman" w:hAnsi="Times New Roman" w:cs="Times New Roman"/>
                <w:sz w:val="18"/>
                <w:szCs w:val="18"/>
              </w:rPr>
            </w:pPr>
            <w:r>
              <w:rPr>
                <w:rFonts w:ascii="Times New Roman" w:hAnsi="Times New Roman" w:cs="Times New Roman"/>
                <w:sz w:val="18"/>
                <w:szCs w:val="18"/>
              </w:rPr>
              <w:t>AECO5611102040</w:t>
            </w:r>
          </w:p>
        </w:tc>
        <w:tc>
          <w:tcPr>
            <w:tcW w:w="420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Times New Roman" w:hAnsi="Times New Roman" w:eastAsia="宋体" w:cs="Times New Roman"/>
                <w:kern w:val="0"/>
                <w:sz w:val="18"/>
                <w:szCs w:val="18"/>
              </w:rPr>
            </w:pPr>
            <w:r>
              <w:rPr>
                <w:rFonts w:ascii="Times New Roman" w:hAnsi="Times New Roman" w:eastAsia="宋体" w:cs="Times New Roman"/>
                <w:kern w:val="0"/>
                <w:sz w:val="18"/>
                <w:szCs w:val="18"/>
              </w:rPr>
              <w:t>产业组织理论</w:t>
            </w:r>
          </w:p>
          <w:p>
            <w:pPr>
              <w:rPr>
                <w:rFonts w:ascii="Times New Roman" w:hAnsi="Times New Roman" w:eastAsia="宋体" w:cs="Times New Roman"/>
                <w:kern w:val="0"/>
                <w:sz w:val="18"/>
                <w:szCs w:val="18"/>
              </w:rPr>
            </w:pPr>
            <w:r>
              <w:rPr>
                <w:rFonts w:ascii="Times New Roman" w:hAnsi="Times New Roman" w:eastAsia="宋体" w:cs="Times New Roman"/>
                <w:kern w:val="0"/>
                <w:sz w:val="18"/>
                <w:szCs w:val="18"/>
              </w:rPr>
              <w:t>Industrial Organization Theory</w:t>
            </w:r>
          </w:p>
        </w:tc>
        <w:tc>
          <w:tcPr>
            <w:tcW w:w="659" w:type="dxa"/>
            <w:tcBorders>
              <w:top w:val="single" w:color="auto" w:sz="6" w:space="0"/>
              <w:left w:val="single" w:color="auto" w:sz="4" w:space="0"/>
              <w:bottom w:val="single" w:color="auto" w:sz="6" w:space="0"/>
              <w:right w:val="single" w:color="auto" w:sz="6" w:space="0"/>
            </w:tcBorders>
            <w:shd w:val="clear" w:color="auto" w:fill="FFFFFF" w:themeFill="background1"/>
            <w:vAlign w:val="center"/>
          </w:tcPr>
          <w:p>
            <w:pPr>
              <w:jc w:val="center"/>
              <w:rPr>
                <w:rFonts w:ascii="Times New Roman" w:hAnsi="Times New Roman" w:cs="Times New Roman"/>
                <w:sz w:val="18"/>
                <w:szCs w:val="18"/>
              </w:rPr>
            </w:pPr>
            <w:r>
              <w:rPr>
                <w:rFonts w:ascii="Times New Roman" w:hAnsi="Times New Roman" w:cs="Times New Roman"/>
                <w:sz w:val="18"/>
                <w:szCs w:val="18"/>
              </w:rPr>
              <w:t>2</w:t>
            </w:r>
          </w:p>
        </w:tc>
        <w:tc>
          <w:tcPr>
            <w:tcW w:w="699" w:type="dxa"/>
            <w:tcBorders>
              <w:top w:val="single" w:color="auto" w:sz="6" w:space="0"/>
              <w:left w:val="single" w:color="auto" w:sz="6" w:space="0"/>
              <w:bottom w:val="single" w:color="auto" w:sz="6" w:space="0"/>
              <w:right w:val="single" w:color="auto" w:sz="6" w:space="0"/>
            </w:tcBorders>
            <w:shd w:val="clear" w:color="auto" w:fill="FFFFFF" w:themeFill="background1"/>
            <w:vAlign w:val="center"/>
          </w:tcPr>
          <w:p>
            <w:pPr>
              <w:jc w:val="center"/>
              <w:rPr>
                <w:rFonts w:ascii="Times New Roman" w:hAnsi="Times New Roman" w:cs="Times New Roman"/>
                <w:sz w:val="18"/>
                <w:szCs w:val="18"/>
              </w:rPr>
            </w:pPr>
            <w:r>
              <w:rPr>
                <w:rFonts w:ascii="Times New Roman" w:hAnsi="Times New Roman" w:cs="Times New Roman"/>
                <w:sz w:val="18"/>
                <w:szCs w:val="18"/>
              </w:rPr>
              <w:t>第一学年春季学期</w:t>
            </w:r>
          </w:p>
        </w:tc>
        <w:tc>
          <w:tcPr>
            <w:tcW w:w="831" w:type="dxa"/>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cs="Times New Roman"/>
                <w:sz w:val="18"/>
                <w:szCs w:val="18"/>
              </w:rPr>
            </w:pPr>
          </w:p>
        </w:tc>
      </w:tr>
      <w:tr>
        <w:tblPrEx>
          <w:tblCellMar>
            <w:top w:w="0" w:type="dxa"/>
            <w:left w:w="108" w:type="dxa"/>
            <w:bottom w:w="0" w:type="dxa"/>
            <w:right w:w="108" w:type="dxa"/>
          </w:tblCellMar>
        </w:tblPrEx>
        <w:trPr>
          <w:jc w:val="center"/>
        </w:trPr>
        <w:tc>
          <w:tcPr>
            <w:tcW w:w="838" w:type="dxa"/>
            <w:vMerge w:val="continue"/>
            <w:tcBorders>
              <w:left w:val="single" w:color="auto" w:sz="4" w:space="0"/>
              <w:right w:val="single" w:color="auto" w:sz="4" w:space="0"/>
            </w:tcBorders>
            <w:vAlign w:val="center"/>
          </w:tcPr>
          <w:p>
            <w:pPr>
              <w:jc w:val="center"/>
              <w:rPr>
                <w:rFonts w:ascii="Times New Roman" w:hAnsi="Times New Roman" w:cs="Times New Roman"/>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Times New Roman" w:hAnsi="Times New Roman" w:cs="Times New Roman"/>
                <w:sz w:val="18"/>
                <w:szCs w:val="18"/>
              </w:rPr>
            </w:pPr>
            <w:r>
              <w:rPr>
                <w:rFonts w:ascii="Times New Roman" w:hAnsi="Times New Roman" w:cs="Times New Roman"/>
                <w:sz w:val="18"/>
                <w:szCs w:val="18"/>
              </w:rPr>
              <w:t>AECO5611102044</w:t>
            </w:r>
          </w:p>
        </w:tc>
        <w:tc>
          <w:tcPr>
            <w:tcW w:w="420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Times New Roman" w:hAnsi="Times New Roman" w:cs="Times New Roman"/>
                <w:sz w:val="18"/>
                <w:szCs w:val="18"/>
              </w:rPr>
            </w:pPr>
            <w:r>
              <w:rPr>
                <w:rFonts w:ascii="Times New Roman" w:hAnsi="Times New Roman" w:cs="Times New Roman"/>
                <w:sz w:val="18"/>
                <w:szCs w:val="18"/>
              </w:rPr>
              <w:t>经济学研究方法与学术规范</w:t>
            </w:r>
          </w:p>
          <w:p>
            <w:pPr>
              <w:rPr>
                <w:rFonts w:ascii="Times New Roman" w:hAnsi="Times New Roman" w:cs="Times New Roman"/>
                <w:sz w:val="18"/>
                <w:szCs w:val="18"/>
              </w:rPr>
            </w:pPr>
            <w:r>
              <w:rPr>
                <w:rFonts w:ascii="Times New Roman" w:hAnsi="Times New Roman" w:cs="Times New Roman"/>
                <w:sz w:val="18"/>
                <w:szCs w:val="18"/>
              </w:rPr>
              <w:t>Economics Research Method and Essay Writing</w:t>
            </w:r>
          </w:p>
        </w:tc>
        <w:tc>
          <w:tcPr>
            <w:tcW w:w="659" w:type="dxa"/>
            <w:tcBorders>
              <w:top w:val="single" w:color="auto" w:sz="6" w:space="0"/>
              <w:left w:val="single" w:color="auto" w:sz="4" w:space="0"/>
              <w:bottom w:val="single" w:color="auto" w:sz="6" w:space="0"/>
              <w:right w:val="single" w:color="auto" w:sz="6" w:space="0"/>
            </w:tcBorders>
            <w:shd w:val="clear" w:color="auto" w:fill="FFFFFF" w:themeFill="background1"/>
            <w:vAlign w:val="center"/>
          </w:tcPr>
          <w:p>
            <w:pPr>
              <w:jc w:val="center"/>
              <w:rPr>
                <w:rFonts w:ascii="Times New Roman" w:hAnsi="Times New Roman" w:cs="Times New Roman"/>
                <w:sz w:val="18"/>
                <w:szCs w:val="18"/>
              </w:rPr>
            </w:pPr>
            <w:r>
              <w:rPr>
                <w:rFonts w:ascii="Times New Roman" w:hAnsi="Times New Roman" w:cs="Times New Roman"/>
                <w:sz w:val="18"/>
                <w:szCs w:val="18"/>
              </w:rPr>
              <w:t>2</w:t>
            </w:r>
          </w:p>
        </w:tc>
        <w:tc>
          <w:tcPr>
            <w:tcW w:w="699" w:type="dxa"/>
            <w:tcBorders>
              <w:top w:val="single" w:color="auto" w:sz="6" w:space="0"/>
              <w:left w:val="single" w:color="auto" w:sz="6" w:space="0"/>
              <w:bottom w:val="single" w:color="auto" w:sz="6" w:space="0"/>
              <w:right w:val="single" w:color="auto" w:sz="6" w:space="0"/>
            </w:tcBorders>
            <w:shd w:val="clear" w:color="auto" w:fill="FFFFFF" w:themeFill="background1"/>
            <w:vAlign w:val="center"/>
          </w:tcPr>
          <w:p>
            <w:pPr>
              <w:jc w:val="center"/>
              <w:rPr>
                <w:rFonts w:ascii="Times New Roman" w:hAnsi="Times New Roman" w:cs="Times New Roman"/>
                <w:sz w:val="18"/>
                <w:szCs w:val="18"/>
              </w:rPr>
            </w:pPr>
            <w:r>
              <w:rPr>
                <w:rFonts w:ascii="Times New Roman" w:hAnsi="Times New Roman" w:cs="Times New Roman"/>
                <w:sz w:val="18"/>
                <w:szCs w:val="18"/>
              </w:rPr>
              <w:t>第二学年秋季学期</w:t>
            </w:r>
          </w:p>
        </w:tc>
        <w:tc>
          <w:tcPr>
            <w:tcW w:w="831" w:type="dxa"/>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cs="Times New Roman"/>
                <w:sz w:val="18"/>
                <w:szCs w:val="18"/>
              </w:rPr>
            </w:pPr>
          </w:p>
        </w:tc>
      </w:tr>
      <w:tr>
        <w:tblPrEx>
          <w:tblCellMar>
            <w:top w:w="0" w:type="dxa"/>
            <w:left w:w="108" w:type="dxa"/>
            <w:bottom w:w="0" w:type="dxa"/>
            <w:right w:w="108" w:type="dxa"/>
          </w:tblCellMar>
        </w:tblPrEx>
        <w:trPr>
          <w:jc w:val="center"/>
        </w:trPr>
        <w:tc>
          <w:tcPr>
            <w:tcW w:w="838" w:type="dxa"/>
            <w:vMerge w:val="continue"/>
            <w:tcBorders>
              <w:left w:val="single" w:color="auto" w:sz="4" w:space="0"/>
              <w:right w:val="single" w:color="auto" w:sz="4" w:space="0"/>
            </w:tcBorders>
            <w:vAlign w:val="center"/>
          </w:tcPr>
          <w:p>
            <w:pPr>
              <w:jc w:val="center"/>
              <w:rPr>
                <w:rFonts w:ascii="Times New Roman" w:hAnsi="Times New Roman" w:cs="Times New Roman"/>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Times New Roman" w:hAnsi="Times New Roman" w:cs="Times New Roman"/>
                <w:sz w:val="18"/>
                <w:szCs w:val="18"/>
              </w:rPr>
            </w:pPr>
            <w:r>
              <w:rPr>
                <w:rFonts w:ascii="Times New Roman" w:hAnsi="Times New Roman" w:cs="Times New Roman"/>
                <w:sz w:val="18"/>
                <w:szCs w:val="18"/>
              </w:rPr>
              <w:t>AECO5611102017</w:t>
            </w:r>
          </w:p>
        </w:tc>
        <w:tc>
          <w:tcPr>
            <w:tcW w:w="420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Times New Roman" w:hAnsi="Times New Roman" w:cs="Times New Roman"/>
                <w:sz w:val="18"/>
                <w:szCs w:val="18"/>
              </w:rPr>
            </w:pPr>
            <w:r>
              <w:rPr>
                <w:rFonts w:ascii="Times New Roman" w:hAnsi="Times New Roman" w:cs="Times New Roman"/>
                <w:sz w:val="18"/>
                <w:szCs w:val="18"/>
              </w:rPr>
              <w:t>公司金融专题</w:t>
            </w:r>
          </w:p>
          <w:p>
            <w:pPr>
              <w:rPr>
                <w:rFonts w:ascii="Times New Roman" w:hAnsi="Times New Roman" w:cs="Times New Roman"/>
                <w:sz w:val="18"/>
                <w:szCs w:val="18"/>
              </w:rPr>
            </w:pPr>
            <w:r>
              <w:rPr>
                <w:rFonts w:ascii="Times New Roman" w:hAnsi="Times New Roman" w:cs="Times New Roman"/>
                <w:sz w:val="18"/>
                <w:szCs w:val="18"/>
              </w:rPr>
              <w:t>Topics on Corporate Finance</w:t>
            </w:r>
          </w:p>
        </w:tc>
        <w:tc>
          <w:tcPr>
            <w:tcW w:w="659" w:type="dxa"/>
            <w:tcBorders>
              <w:top w:val="single" w:color="auto" w:sz="6" w:space="0"/>
              <w:left w:val="single" w:color="auto" w:sz="4" w:space="0"/>
              <w:bottom w:val="single" w:color="auto" w:sz="6" w:space="0"/>
              <w:right w:val="single" w:color="auto" w:sz="6" w:space="0"/>
            </w:tcBorders>
            <w:shd w:val="clear" w:color="auto" w:fill="FFFFFF" w:themeFill="background1"/>
            <w:vAlign w:val="center"/>
          </w:tcPr>
          <w:p>
            <w:pPr>
              <w:jc w:val="center"/>
              <w:rPr>
                <w:rFonts w:ascii="Times New Roman" w:hAnsi="Times New Roman" w:cs="Times New Roman"/>
                <w:sz w:val="18"/>
                <w:szCs w:val="18"/>
              </w:rPr>
            </w:pPr>
            <w:r>
              <w:rPr>
                <w:rFonts w:ascii="Times New Roman" w:hAnsi="Times New Roman" w:cs="Times New Roman"/>
                <w:sz w:val="18"/>
                <w:szCs w:val="18"/>
              </w:rPr>
              <w:t>2</w:t>
            </w:r>
          </w:p>
        </w:tc>
        <w:tc>
          <w:tcPr>
            <w:tcW w:w="699" w:type="dxa"/>
            <w:tcBorders>
              <w:top w:val="single" w:color="auto" w:sz="6" w:space="0"/>
              <w:left w:val="single" w:color="auto" w:sz="6" w:space="0"/>
              <w:bottom w:val="single" w:color="auto" w:sz="6" w:space="0"/>
              <w:right w:val="single" w:color="auto" w:sz="6" w:space="0"/>
            </w:tcBorders>
            <w:shd w:val="clear" w:color="auto" w:fill="FFFFFF" w:themeFill="background1"/>
            <w:vAlign w:val="center"/>
          </w:tcPr>
          <w:p>
            <w:pPr>
              <w:jc w:val="center"/>
              <w:rPr>
                <w:rFonts w:ascii="Times New Roman" w:hAnsi="Times New Roman" w:cs="Times New Roman"/>
                <w:sz w:val="18"/>
                <w:szCs w:val="18"/>
              </w:rPr>
            </w:pPr>
            <w:r>
              <w:rPr>
                <w:rFonts w:ascii="Times New Roman" w:hAnsi="Times New Roman" w:cs="Times New Roman"/>
                <w:sz w:val="18"/>
                <w:szCs w:val="18"/>
              </w:rPr>
              <w:t>第二学年秋季学期</w:t>
            </w:r>
          </w:p>
        </w:tc>
        <w:tc>
          <w:tcPr>
            <w:tcW w:w="831" w:type="dxa"/>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cs="Times New Roman"/>
                <w:sz w:val="18"/>
                <w:szCs w:val="18"/>
              </w:rPr>
            </w:pPr>
          </w:p>
        </w:tc>
      </w:tr>
      <w:tr>
        <w:tblPrEx>
          <w:tblCellMar>
            <w:top w:w="0" w:type="dxa"/>
            <w:left w:w="108" w:type="dxa"/>
            <w:bottom w:w="0" w:type="dxa"/>
            <w:right w:w="108" w:type="dxa"/>
          </w:tblCellMar>
        </w:tblPrEx>
        <w:trPr>
          <w:jc w:val="center"/>
        </w:trPr>
        <w:tc>
          <w:tcPr>
            <w:tcW w:w="838" w:type="dxa"/>
            <w:vMerge w:val="continue"/>
            <w:tcBorders>
              <w:left w:val="single" w:color="auto" w:sz="4" w:space="0"/>
              <w:right w:val="single" w:color="auto" w:sz="4" w:space="0"/>
            </w:tcBorders>
            <w:vAlign w:val="center"/>
          </w:tcPr>
          <w:p>
            <w:pPr>
              <w:jc w:val="center"/>
              <w:rPr>
                <w:rFonts w:ascii="Times New Roman" w:hAnsi="Times New Roman" w:cs="Times New Roman"/>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Times New Roman" w:hAnsi="Times New Roman" w:cs="Times New Roman"/>
                <w:sz w:val="18"/>
                <w:szCs w:val="18"/>
              </w:rPr>
            </w:pPr>
            <w:r>
              <w:rPr>
                <w:rFonts w:ascii="Times New Roman" w:hAnsi="Times New Roman" w:cs="Times New Roman"/>
                <w:sz w:val="18"/>
                <w:szCs w:val="18"/>
              </w:rPr>
              <w:t>AECO5611102041</w:t>
            </w:r>
          </w:p>
        </w:tc>
        <w:tc>
          <w:tcPr>
            <w:tcW w:w="420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金融工程专题</w:t>
            </w:r>
          </w:p>
          <w:p>
            <w:pPr>
              <w:rPr>
                <w:rFonts w:ascii="Times New Roman" w:hAnsi="Times New Roman" w:cs="Times New Roman"/>
                <w:sz w:val="18"/>
                <w:szCs w:val="18"/>
              </w:rPr>
            </w:pPr>
            <w:r>
              <w:rPr>
                <w:rFonts w:ascii="Times New Roman" w:hAnsi="Times New Roman" w:cs="Times New Roman"/>
                <w:kern w:val="0"/>
                <w:sz w:val="18"/>
                <w:szCs w:val="18"/>
              </w:rPr>
              <w:t>Topics on Financial Engineering</w:t>
            </w:r>
          </w:p>
        </w:tc>
        <w:tc>
          <w:tcPr>
            <w:tcW w:w="659" w:type="dxa"/>
            <w:tcBorders>
              <w:top w:val="single" w:color="auto" w:sz="6" w:space="0"/>
              <w:left w:val="single" w:color="auto" w:sz="4" w:space="0"/>
              <w:bottom w:val="single" w:color="auto" w:sz="6" w:space="0"/>
              <w:right w:val="single" w:color="auto" w:sz="6" w:space="0"/>
            </w:tcBorders>
            <w:shd w:val="clear" w:color="auto" w:fill="FFFFFF" w:themeFill="background1"/>
            <w:vAlign w:val="center"/>
          </w:tcPr>
          <w:p>
            <w:pPr>
              <w:jc w:val="center"/>
              <w:rPr>
                <w:rFonts w:ascii="Times New Roman" w:hAnsi="Times New Roman" w:cs="Times New Roman"/>
                <w:sz w:val="18"/>
                <w:szCs w:val="18"/>
              </w:rPr>
            </w:pPr>
            <w:r>
              <w:rPr>
                <w:rFonts w:ascii="Times New Roman" w:hAnsi="Times New Roman" w:cs="Times New Roman"/>
                <w:sz w:val="18"/>
                <w:szCs w:val="18"/>
              </w:rPr>
              <w:t>2</w:t>
            </w:r>
          </w:p>
        </w:tc>
        <w:tc>
          <w:tcPr>
            <w:tcW w:w="699" w:type="dxa"/>
            <w:tcBorders>
              <w:top w:val="single" w:color="auto" w:sz="6" w:space="0"/>
              <w:left w:val="single" w:color="auto" w:sz="6" w:space="0"/>
              <w:bottom w:val="single" w:color="auto" w:sz="6" w:space="0"/>
              <w:right w:val="single" w:color="auto" w:sz="6" w:space="0"/>
            </w:tcBorders>
            <w:shd w:val="clear" w:color="auto" w:fill="FFFFFF" w:themeFill="background1"/>
            <w:vAlign w:val="center"/>
          </w:tcPr>
          <w:p>
            <w:pPr>
              <w:jc w:val="center"/>
              <w:rPr>
                <w:rFonts w:ascii="Times New Roman" w:hAnsi="Times New Roman" w:cs="Times New Roman"/>
                <w:sz w:val="18"/>
                <w:szCs w:val="18"/>
              </w:rPr>
            </w:pPr>
            <w:r>
              <w:rPr>
                <w:rFonts w:ascii="Times New Roman" w:hAnsi="Times New Roman" w:cs="Times New Roman"/>
                <w:kern w:val="0"/>
                <w:sz w:val="18"/>
                <w:szCs w:val="18"/>
              </w:rPr>
              <w:t>第二学年春季学期</w:t>
            </w:r>
          </w:p>
        </w:tc>
        <w:tc>
          <w:tcPr>
            <w:tcW w:w="831" w:type="dxa"/>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cs="Times New Roman"/>
                <w:sz w:val="18"/>
                <w:szCs w:val="18"/>
              </w:rPr>
            </w:pPr>
          </w:p>
        </w:tc>
      </w:tr>
      <w:tr>
        <w:tblPrEx>
          <w:tblCellMar>
            <w:top w:w="0" w:type="dxa"/>
            <w:left w:w="108" w:type="dxa"/>
            <w:bottom w:w="0" w:type="dxa"/>
            <w:right w:w="108" w:type="dxa"/>
          </w:tblCellMar>
        </w:tblPrEx>
        <w:trPr>
          <w:jc w:val="center"/>
        </w:trPr>
        <w:tc>
          <w:tcPr>
            <w:tcW w:w="838" w:type="dxa"/>
            <w:vMerge w:val="continue"/>
            <w:tcBorders>
              <w:left w:val="single" w:color="auto" w:sz="4" w:space="0"/>
              <w:right w:val="single" w:color="auto" w:sz="4" w:space="0"/>
            </w:tcBorders>
            <w:vAlign w:val="center"/>
          </w:tcPr>
          <w:p>
            <w:pPr>
              <w:jc w:val="center"/>
              <w:rPr>
                <w:rFonts w:ascii="Times New Roman" w:hAnsi="Times New Roman" w:cs="Times New Roman"/>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Times New Roman" w:hAnsi="Times New Roman" w:cs="Times New Roman"/>
                <w:sz w:val="18"/>
                <w:szCs w:val="18"/>
              </w:rPr>
            </w:pPr>
            <w:r>
              <w:rPr>
                <w:rFonts w:ascii="Times New Roman" w:hAnsi="Times New Roman" w:cs="Times New Roman"/>
                <w:sz w:val="18"/>
                <w:szCs w:val="18"/>
              </w:rPr>
              <w:t>AECO5611102034</w:t>
            </w:r>
          </w:p>
        </w:tc>
        <w:tc>
          <w:tcPr>
            <w:tcW w:w="420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Times New Roman" w:hAnsi="Times New Roman" w:cs="Times New Roman"/>
                <w:sz w:val="18"/>
                <w:szCs w:val="18"/>
              </w:rPr>
            </w:pPr>
            <w:r>
              <w:rPr>
                <w:rFonts w:ascii="Times New Roman" w:hAnsi="Times New Roman" w:cs="Times New Roman"/>
                <w:sz w:val="18"/>
                <w:szCs w:val="18"/>
              </w:rPr>
              <w:t>WTO与国际贸易规则</w:t>
            </w:r>
          </w:p>
          <w:p>
            <w:pPr>
              <w:rPr>
                <w:rFonts w:ascii="Times New Roman" w:hAnsi="Times New Roman" w:cs="Times New Roman"/>
                <w:sz w:val="18"/>
                <w:szCs w:val="18"/>
              </w:rPr>
            </w:pPr>
            <w:r>
              <w:rPr>
                <w:rFonts w:ascii="Times New Roman" w:hAnsi="Times New Roman" w:cs="Times New Roman"/>
                <w:sz w:val="18"/>
                <w:szCs w:val="18"/>
              </w:rPr>
              <w:t>WTO and International Trade Rules</w:t>
            </w:r>
          </w:p>
        </w:tc>
        <w:tc>
          <w:tcPr>
            <w:tcW w:w="659" w:type="dxa"/>
            <w:tcBorders>
              <w:top w:val="single" w:color="auto" w:sz="6" w:space="0"/>
              <w:left w:val="single" w:color="auto" w:sz="4" w:space="0"/>
              <w:bottom w:val="single" w:color="auto" w:sz="6" w:space="0"/>
              <w:right w:val="single" w:color="auto" w:sz="6" w:space="0"/>
            </w:tcBorders>
            <w:shd w:val="clear" w:color="auto" w:fill="FFFFFF" w:themeFill="background1"/>
            <w:vAlign w:val="center"/>
          </w:tcPr>
          <w:p>
            <w:pPr>
              <w:jc w:val="center"/>
              <w:rPr>
                <w:rFonts w:ascii="Times New Roman" w:hAnsi="Times New Roman" w:cs="Times New Roman"/>
                <w:sz w:val="18"/>
                <w:szCs w:val="18"/>
              </w:rPr>
            </w:pPr>
            <w:r>
              <w:rPr>
                <w:rFonts w:ascii="Times New Roman" w:hAnsi="Times New Roman" w:cs="Times New Roman"/>
                <w:sz w:val="18"/>
                <w:szCs w:val="18"/>
              </w:rPr>
              <w:t>2</w:t>
            </w:r>
          </w:p>
        </w:tc>
        <w:tc>
          <w:tcPr>
            <w:tcW w:w="699" w:type="dxa"/>
            <w:tcBorders>
              <w:top w:val="single" w:color="auto" w:sz="6" w:space="0"/>
              <w:left w:val="single" w:color="auto" w:sz="6" w:space="0"/>
              <w:bottom w:val="single" w:color="auto" w:sz="6" w:space="0"/>
              <w:right w:val="single" w:color="auto" w:sz="6" w:space="0"/>
            </w:tcBorders>
            <w:shd w:val="clear" w:color="auto" w:fill="FFFFFF" w:themeFill="background1"/>
            <w:vAlign w:val="center"/>
          </w:tcPr>
          <w:p>
            <w:pPr>
              <w:jc w:val="center"/>
              <w:rPr>
                <w:rFonts w:ascii="Times New Roman" w:hAnsi="Times New Roman" w:cs="Times New Roman"/>
                <w:sz w:val="18"/>
                <w:szCs w:val="18"/>
              </w:rPr>
            </w:pPr>
            <w:r>
              <w:rPr>
                <w:rFonts w:ascii="Times New Roman" w:hAnsi="Times New Roman" w:cs="Times New Roman"/>
                <w:sz w:val="18"/>
                <w:szCs w:val="18"/>
              </w:rPr>
              <w:t>第二学年春季学期</w:t>
            </w:r>
          </w:p>
        </w:tc>
        <w:tc>
          <w:tcPr>
            <w:tcW w:w="831" w:type="dxa"/>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cs="Times New Roman"/>
                <w:sz w:val="18"/>
                <w:szCs w:val="18"/>
              </w:rPr>
            </w:pPr>
          </w:p>
        </w:tc>
      </w:tr>
      <w:tr>
        <w:tblPrEx>
          <w:tblCellMar>
            <w:top w:w="0" w:type="dxa"/>
            <w:left w:w="108" w:type="dxa"/>
            <w:bottom w:w="0" w:type="dxa"/>
            <w:right w:w="108" w:type="dxa"/>
          </w:tblCellMar>
        </w:tblPrEx>
        <w:trPr>
          <w:jc w:val="center"/>
        </w:trPr>
        <w:tc>
          <w:tcPr>
            <w:tcW w:w="838" w:type="dxa"/>
            <w:vMerge w:val="continue"/>
            <w:tcBorders>
              <w:left w:val="single" w:color="auto" w:sz="4" w:space="0"/>
              <w:right w:val="single" w:color="auto" w:sz="4" w:space="0"/>
            </w:tcBorders>
            <w:vAlign w:val="center"/>
          </w:tcPr>
          <w:p>
            <w:pPr>
              <w:jc w:val="center"/>
              <w:rPr>
                <w:rFonts w:ascii="Times New Roman" w:hAnsi="Times New Roman" w:cs="Times New Roman"/>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Times New Roman" w:hAnsi="Times New Roman" w:cs="Times New Roman"/>
                <w:sz w:val="18"/>
                <w:szCs w:val="18"/>
              </w:rPr>
            </w:pPr>
            <w:r>
              <w:rPr>
                <w:rFonts w:ascii="Times New Roman" w:hAnsi="Times New Roman" w:cs="Times New Roman"/>
                <w:sz w:val="18"/>
                <w:szCs w:val="18"/>
              </w:rPr>
              <w:t>AECO5611102032</w:t>
            </w:r>
          </w:p>
        </w:tc>
        <w:tc>
          <w:tcPr>
            <w:tcW w:w="420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中级投资银行学</w:t>
            </w:r>
          </w:p>
          <w:p>
            <w:pPr>
              <w:rPr>
                <w:rFonts w:ascii="Times New Roman" w:hAnsi="Times New Roman" w:cs="Times New Roman"/>
                <w:sz w:val="18"/>
                <w:szCs w:val="18"/>
              </w:rPr>
            </w:pPr>
            <w:r>
              <w:rPr>
                <w:rFonts w:ascii="Times New Roman" w:hAnsi="Times New Roman" w:cs="Times New Roman"/>
                <w:kern w:val="0"/>
                <w:sz w:val="18"/>
                <w:szCs w:val="18"/>
              </w:rPr>
              <w:t>Intermediate Investment Banking</w:t>
            </w:r>
          </w:p>
        </w:tc>
        <w:tc>
          <w:tcPr>
            <w:tcW w:w="659" w:type="dxa"/>
            <w:tcBorders>
              <w:top w:val="single" w:color="auto" w:sz="6" w:space="0"/>
              <w:left w:val="single" w:color="auto" w:sz="4" w:space="0"/>
              <w:bottom w:val="single" w:color="auto" w:sz="6" w:space="0"/>
              <w:right w:val="single" w:color="auto" w:sz="6" w:space="0"/>
            </w:tcBorders>
            <w:shd w:val="clear" w:color="auto" w:fill="FFFFFF" w:themeFill="background1"/>
            <w:vAlign w:val="center"/>
          </w:tcPr>
          <w:p>
            <w:pPr>
              <w:jc w:val="center"/>
              <w:rPr>
                <w:rFonts w:ascii="Times New Roman" w:hAnsi="Times New Roman" w:cs="Times New Roman"/>
                <w:sz w:val="18"/>
                <w:szCs w:val="18"/>
              </w:rPr>
            </w:pPr>
            <w:r>
              <w:rPr>
                <w:rFonts w:ascii="Times New Roman" w:hAnsi="Times New Roman" w:cs="Times New Roman"/>
                <w:sz w:val="18"/>
                <w:szCs w:val="18"/>
              </w:rPr>
              <w:t>2</w:t>
            </w:r>
          </w:p>
        </w:tc>
        <w:tc>
          <w:tcPr>
            <w:tcW w:w="699" w:type="dxa"/>
            <w:tcBorders>
              <w:top w:val="single" w:color="auto" w:sz="6" w:space="0"/>
              <w:left w:val="single" w:color="auto" w:sz="6" w:space="0"/>
              <w:bottom w:val="single" w:color="auto" w:sz="6" w:space="0"/>
              <w:right w:val="single" w:color="auto" w:sz="6" w:space="0"/>
            </w:tcBorders>
            <w:shd w:val="clear" w:color="auto" w:fill="FFFFFF" w:themeFill="background1"/>
            <w:vAlign w:val="center"/>
          </w:tcPr>
          <w:p>
            <w:pPr>
              <w:jc w:val="center"/>
              <w:rPr>
                <w:rFonts w:ascii="Times New Roman" w:hAnsi="Times New Roman" w:cs="Times New Roman"/>
                <w:sz w:val="18"/>
                <w:szCs w:val="18"/>
              </w:rPr>
            </w:pPr>
            <w:r>
              <w:rPr>
                <w:rFonts w:ascii="Times New Roman" w:hAnsi="Times New Roman" w:cs="Times New Roman"/>
                <w:kern w:val="0"/>
                <w:sz w:val="18"/>
                <w:szCs w:val="18"/>
              </w:rPr>
              <w:t>第二学年</w:t>
            </w:r>
            <w:r>
              <w:rPr>
                <w:rFonts w:hint="eastAsia" w:ascii="Times New Roman" w:hAnsi="Times New Roman" w:cs="Times New Roman"/>
                <w:kern w:val="0"/>
                <w:sz w:val="18"/>
                <w:szCs w:val="18"/>
              </w:rPr>
              <w:t>秋</w:t>
            </w:r>
            <w:r>
              <w:rPr>
                <w:rFonts w:ascii="Times New Roman" w:hAnsi="Times New Roman" w:cs="Times New Roman"/>
                <w:kern w:val="0"/>
                <w:sz w:val="18"/>
                <w:szCs w:val="18"/>
              </w:rPr>
              <w:t>季学期</w:t>
            </w:r>
          </w:p>
        </w:tc>
        <w:tc>
          <w:tcPr>
            <w:tcW w:w="831" w:type="dxa"/>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cs="Times New Roman"/>
                <w:sz w:val="18"/>
                <w:szCs w:val="18"/>
              </w:rPr>
            </w:pPr>
          </w:p>
        </w:tc>
      </w:tr>
      <w:tr>
        <w:tblPrEx>
          <w:tblCellMar>
            <w:top w:w="0" w:type="dxa"/>
            <w:left w:w="108" w:type="dxa"/>
            <w:bottom w:w="0" w:type="dxa"/>
            <w:right w:w="108" w:type="dxa"/>
          </w:tblCellMar>
        </w:tblPrEx>
        <w:trPr>
          <w:jc w:val="center"/>
        </w:trPr>
        <w:tc>
          <w:tcPr>
            <w:tcW w:w="838" w:type="dxa"/>
            <w:vMerge w:val="continue"/>
            <w:tcBorders>
              <w:left w:val="single" w:color="auto" w:sz="4" w:space="0"/>
              <w:right w:val="single" w:color="auto" w:sz="4" w:space="0"/>
            </w:tcBorders>
            <w:vAlign w:val="center"/>
          </w:tcPr>
          <w:p>
            <w:pPr>
              <w:jc w:val="center"/>
              <w:rPr>
                <w:rFonts w:ascii="Times New Roman" w:hAnsi="Times New Roman" w:cs="Times New Roman"/>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Times New Roman" w:hAnsi="Times New Roman" w:cs="Times New Roman"/>
                <w:sz w:val="18"/>
                <w:szCs w:val="18"/>
              </w:rPr>
            </w:pPr>
            <w:r>
              <w:rPr>
                <w:rFonts w:ascii="Times New Roman" w:hAnsi="Times New Roman" w:cs="Times New Roman"/>
                <w:sz w:val="18"/>
                <w:szCs w:val="18"/>
              </w:rPr>
              <w:t>AECO5611102042</w:t>
            </w:r>
          </w:p>
        </w:tc>
        <w:tc>
          <w:tcPr>
            <w:tcW w:w="420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中国经济改革理论与实践</w:t>
            </w:r>
          </w:p>
          <w:p>
            <w:pPr>
              <w:rPr>
                <w:rFonts w:ascii="Times New Roman" w:hAnsi="Times New Roman" w:cs="Times New Roman"/>
                <w:sz w:val="18"/>
                <w:szCs w:val="18"/>
              </w:rPr>
            </w:pPr>
            <w:r>
              <w:rPr>
                <w:rFonts w:ascii="Times New Roman" w:hAnsi="Times New Roman" w:cs="Times New Roman"/>
                <w:kern w:val="0"/>
                <w:sz w:val="18"/>
                <w:szCs w:val="18"/>
              </w:rPr>
              <w:t>Theory and Practice of China's Economic Reform</w:t>
            </w:r>
          </w:p>
        </w:tc>
        <w:tc>
          <w:tcPr>
            <w:tcW w:w="659" w:type="dxa"/>
            <w:tcBorders>
              <w:top w:val="single" w:color="auto" w:sz="6" w:space="0"/>
              <w:left w:val="single" w:color="auto" w:sz="4" w:space="0"/>
              <w:bottom w:val="single" w:color="auto" w:sz="6" w:space="0"/>
              <w:right w:val="single" w:color="auto" w:sz="6" w:space="0"/>
            </w:tcBorders>
            <w:shd w:val="clear" w:color="auto" w:fill="FFFFFF" w:themeFill="background1"/>
            <w:vAlign w:val="center"/>
          </w:tcPr>
          <w:p>
            <w:pPr>
              <w:jc w:val="center"/>
              <w:rPr>
                <w:rFonts w:ascii="Times New Roman" w:hAnsi="Times New Roman" w:cs="Times New Roman"/>
                <w:sz w:val="18"/>
                <w:szCs w:val="18"/>
              </w:rPr>
            </w:pPr>
            <w:r>
              <w:rPr>
                <w:rFonts w:ascii="Times New Roman" w:hAnsi="Times New Roman" w:cs="Times New Roman"/>
                <w:sz w:val="18"/>
                <w:szCs w:val="18"/>
              </w:rPr>
              <w:t>2</w:t>
            </w:r>
          </w:p>
        </w:tc>
        <w:tc>
          <w:tcPr>
            <w:tcW w:w="699" w:type="dxa"/>
            <w:tcBorders>
              <w:top w:val="single" w:color="auto" w:sz="6" w:space="0"/>
              <w:left w:val="single" w:color="auto" w:sz="6" w:space="0"/>
              <w:bottom w:val="single" w:color="auto" w:sz="6" w:space="0"/>
              <w:right w:val="single" w:color="auto" w:sz="6" w:space="0"/>
            </w:tcBorders>
            <w:shd w:val="clear" w:color="auto" w:fill="FFFFFF" w:themeFill="background1"/>
            <w:vAlign w:val="center"/>
          </w:tcPr>
          <w:p>
            <w:pPr>
              <w:jc w:val="center"/>
              <w:rPr>
                <w:rFonts w:ascii="Times New Roman" w:hAnsi="Times New Roman" w:cs="Times New Roman"/>
                <w:sz w:val="18"/>
                <w:szCs w:val="18"/>
              </w:rPr>
            </w:pPr>
            <w:r>
              <w:rPr>
                <w:rFonts w:ascii="Times New Roman" w:hAnsi="Times New Roman" w:cs="Times New Roman"/>
                <w:kern w:val="0"/>
                <w:sz w:val="18"/>
                <w:szCs w:val="18"/>
              </w:rPr>
              <w:t>第二学年春季学期</w:t>
            </w:r>
          </w:p>
        </w:tc>
        <w:tc>
          <w:tcPr>
            <w:tcW w:w="831" w:type="dxa"/>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cs="Times New Roman"/>
                <w:sz w:val="18"/>
                <w:szCs w:val="18"/>
              </w:rPr>
            </w:pPr>
          </w:p>
        </w:tc>
      </w:tr>
      <w:tr>
        <w:tblPrEx>
          <w:tblCellMar>
            <w:top w:w="0" w:type="dxa"/>
            <w:left w:w="108" w:type="dxa"/>
            <w:bottom w:w="0" w:type="dxa"/>
            <w:right w:w="108" w:type="dxa"/>
          </w:tblCellMar>
        </w:tblPrEx>
        <w:trPr>
          <w:jc w:val="center"/>
        </w:trPr>
        <w:tc>
          <w:tcPr>
            <w:tcW w:w="838" w:type="dxa"/>
            <w:vMerge w:val="continue"/>
            <w:tcBorders>
              <w:left w:val="single" w:color="auto" w:sz="4" w:space="0"/>
              <w:right w:val="single" w:color="auto" w:sz="4" w:space="0"/>
            </w:tcBorders>
            <w:vAlign w:val="center"/>
          </w:tcPr>
          <w:p>
            <w:pPr>
              <w:jc w:val="center"/>
              <w:rPr>
                <w:rFonts w:ascii="Times New Roman" w:hAnsi="Times New Roman" w:cs="Times New Roman"/>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Times New Roman" w:hAnsi="Times New Roman" w:cs="Times New Roman"/>
                <w:sz w:val="18"/>
                <w:szCs w:val="18"/>
              </w:rPr>
            </w:pPr>
            <w:r>
              <w:rPr>
                <w:rFonts w:ascii="Times New Roman" w:hAnsi="Times New Roman" w:cs="Times New Roman"/>
                <w:sz w:val="18"/>
                <w:szCs w:val="18"/>
              </w:rPr>
              <w:t>TYKC5511202005</w:t>
            </w:r>
          </w:p>
        </w:tc>
        <w:tc>
          <w:tcPr>
            <w:tcW w:w="420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公司治理</w:t>
            </w:r>
          </w:p>
          <w:p>
            <w:pPr>
              <w:rPr>
                <w:rFonts w:ascii="Times New Roman" w:hAnsi="Times New Roman" w:cs="Times New Roman"/>
                <w:sz w:val="18"/>
                <w:szCs w:val="18"/>
              </w:rPr>
            </w:pPr>
            <w:r>
              <w:rPr>
                <w:rFonts w:ascii="Times New Roman" w:hAnsi="Times New Roman" w:cs="Times New Roman"/>
                <w:kern w:val="0"/>
                <w:sz w:val="18"/>
                <w:szCs w:val="18"/>
              </w:rPr>
              <w:t>Corporate Governance</w:t>
            </w:r>
          </w:p>
        </w:tc>
        <w:tc>
          <w:tcPr>
            <w:tcW w:w="659" w:type="dxa"/>
            <w:tcBorders>
              <w:top w:val="single" w:color="auto" w:sz="6" w:space="0"/>
              <w:left w:val="single" w:color="auto" w:sz="4" w:space="0"/>
              <w:bottom w:val="single" w:color="auto" w:sz="6" w:space="0"/>
              <w:right w:val="single" w:color="auto" w:sz="6" w:space="0"/>
            </w:tcBorders>
            <w:shd w:val="clear" w:color="auto" w:fill="FFFFFF" w:themeFill="background1"/>
            <w:vAlign w:val="center"/>
          </w:tcPr>
          <w:p>
            <w:pPr>
              <w:jc w:val="center"/>
              <w:rPr>
                <w:rFonts w:ascii="Times New Roman" w:hAnsi="Times New Roman" w:cs="Times New Roman"/>
                <w:sz w:val="18"/>
                <w:szCs w:val="18"/>
              </w:rPr>
            </w:pPr>
            <w:r>
              <w:rPr>
                <w:rFonts w:ascii="Times New Roman" w:hAnsi="Times New Roman" w:cs="Times New Roman"/>
                <w:sz w:val="18"/>
                <w:szCs w:val="18"/>
              </w:rPr>
              <w:t>2</w:t>
            </w:r>
          </w:p>
        </w:tc>
        <w:tc>
          <w:tcPr>
            <w:tcW w:w="699" w:type="dxa"/>
            <w:tcBorders>
              <w:top w:val="single" w:color="auto" w:sz="6" w:space="0"/>
              <w:left w:val="single" w:color="auto" w:sz="6" w:space="0"/>
              <w:bottom w:val="single" w:color="auto" w:sz="6" w:space="0"/>
              <w:right w:val="single" w:color="auto" w:sz="6" w:space="0"/>
            </w:tcBorders>
            <w:shd w:val="clear" w:color="auto" w:fill="FFFFFF" w:themeFill="background1"/>
            <w:vAlign w:val="center"/>
          </w:tcPr>
          <w:p>
            <w:pPr>
              <w:jc w:val="center"/>
              <w:rPr>
                <w:rFonts w:ascii="Times New Roman" w:hAnsi="Times New Roman" w:cs="Times New Roman"/>
                <w:sz w:val="18"/>
                <w:szCs w:val="18"/>
              </w:rPr>
            </w:pPr>
            <w:r>
              <w:rPr>
                <w:rFonts w:ascii="Times New Roman" w:hAnsi="Times New Roman" w:cs="Times New Roman"/>
                <w:kern w:val="0"/>
                <w:sz w:val="18"/>
                <w:szCs w:val="18"/>
              </w:rPr>
              <w:t>第二学年春季学期</w:t>
            </w:r>
          </w:p>
        </w:tc>
        <w:tc>
          <w:tcPr>
            <w:tcW w:w="831" w:type="dxa"/>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cs="Times New Roman"/>
                <w:sz w:val="18"/>
                <w:szCs w:val="18"/>
              </w:rPr>
            </w:pPr>
          </w:p>
        </w:tc>
      </w:tr>
      <w:tr>
        <w:tblPrEx>
          <w:tblCellMar>
            <w:top w:w="0" w:type="dxa"/>
            <w:left w:w="108" w:type="dxa"/>
            <w:bottom w:w="0" w:type="dxa"/>
            <w:right w:w="108" w:type="dxa"/>
          </w:tblCellMar>
        </w:tblPrEx>
        <w:trPr>
          <w:jc w:val="center"/>
        </w:trPr>
        <w:tc>
          <w:tcPr>
            <w:tcW w:w="838" w:type="dxa"/>
            <w:vMerge w:val="continue"/>
            <w:tcBorders>
              <w:left w:val="single" w:color="auto" w:sz="4" w:space="0"/>
              <w:right w:val="single" w:color="auto" w:sz="4" w:space="0"/>
            </w:tcBorders>
            <w:vAlign w:val="center"/>
          </w:tcPr>
          <w:p>
            <w:pPr>
              <w:jc w:val="center"/>
              <w:rPr>
                <w:rFonts w:ascii="Times New Roman" w:hAnsi="Times New Roman" w:cs="Times New Roman"/>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Times New Roman" w:hAnsi="Times New Roman" w:cs="Times New Roman"/>
                <w:sz w:val="18"/>
                <w:szCs w:val="18"/>
              </w:rPr>
            </w:pPr>
            <w:r>
              <w:rPr>
                <w:rFonts w:ascii="Times New Roman" w:hAnsi="Times New Roman" w:cs="Times New Roman"/>
                <w:sz w:val="18"/>
                <w:szCs w:val="18"/>
              </w:rPr>
              <w:t>AECO5611102033</w:t>
            </w:r>
          </w:p>
        </w:tc>
        <w:tc>
          <w:tcPr>
            <w:tcW w:w="420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金融机构管理</w:t>
            </w:r>
          </w:p>
          <w:p>
            <w:pPr>
              <w:rPr>
                <w:rFonts w:ascii="Times New Roman" w:hAnsi="Times New Roman" w:cs="Times New Roman"/>
                <w:sz w:val="18"/>
                <w:szCs w:val="18"/>
              </w:rPr>
            </w:pPr>
            <w:r>
              <w:rPr>
                <w:rFonts w:ascii="Times New Roman" w:hAnsi="Times New Roman" w:cs="Times New Roman"/>
                <w:kern w:val="0"/>
                <w:sz w:val="18"/>
                <w:szCs w:val="18"/>
              </w:rPr>
              <w:t>Financial Institution Management</w:t>
            </w:r>
          </w:p>
        </w:tc>
        <w:tc>
          <w:tcPr>
            <w:tcW w:w="659" w:type="dxa"/>
            <w:tcBorders>
              <w:top w:val="single" w:color="auto" w:sz="6" w:space="0"/>
              <w:left w:val="single" w:color="auto" w:sz="4" w:space="0"/>
              <w:bottom w:val="single" w:color="auto" w:sz="6" w:space="0"/>
              <w:right w:val="single" w:color="auto" w:sz="6" w:space="0"/>
            </w:tcBorders>
            <w:shd w:val="clear" w:color="auto" w:fill="FFFFFF" w:themeFill="background1"/>
            <w:vAlign w:val="center"/>
          </w:tcPr>
          <w:p>
            <w:pPr>
              <w:jc w:val="center"/>
              <w:rPr>
                <w:rFonts w:ascii="Times New Roman" w:hAnsi="Times New Roman" w:cs="Times New Roman"/>
                <w:sz w:val="18"/>
                <w:szCs w:val="18"/>
              </w:rPr>
            </w:pPr>
            <w:r>
              <w:rPr>
                <w:rFonts w:ascii="Times New Roman" w:hAnsi="Times New Roman" w:cs="Times New Roman"/>
                <w:sz w:val="18"/>
                <w:szCs w:val="18"/>
              </w:rPr>
              <w:t>2</w:t>
            </w:r>
          </w:p>
        </w:tc>
        <w:tc>
          <w:tcPr>
            <w:tcW w:w="699" w:type="dxa"/>
            <w:tcBorders>
              <w:top w:val="single" w:color="auto" w:sz="6" w:space="0"/>
              <w:left w:val="single" w:color="auto" w:sz="6" w:space="0"/>
              <w:bottom w:val="single" w:color="auto" w:sz="6" w:space="0"/>
              <w:right w:val="single" w:color="auto" w:sz="6" w:space="0"/>
            </w:tcBorders>
            <w:shd w:val="clear" w:color="auto" w:fill="FFFFFF" w:themeFill="background1"/>
            <w:vAlign w:val="center"/>
          </w:tcPr>
          <w:p>
            <w:pPr>
              <w:jc w:val="center"/>
              <w:rPr>
                <w:rFonts w:ascii="Times New Roman" w:hAnsi="Times New Roman" w:cs="Times New Roman"/>
                <w:sz w:val="18"/>
                <w:szCs w:val="18"/>
              </w:rPr>
            </w:pPr>
            <w:r>
              <w:rPr>
                <w:rFonts w:ascii="Times New Roman" w:hAnsi="Times New Roman" w:cs="Times New Roman"/>
                <w:kern w:val="0"/>
                <w:sz w:val="18"/>
                <w:szCs w:val="18"/>
              </w:rPr>
              <w:t>第二学年</w:t>
            </w:r>
            <w:r>
              <w:rPr>
                <w:rFonts w:hint="eastAsia" w:ascii="Times New Roman" w:hAnsi="Times New Roman" w:cs="Times New Roman"/>
                <w:kern w:val="0"/>
                <w:sz w:val="18"/>
                <w:szCs w:val="18"/>
              </w:rPr>
              <w:t>秋</w:t>
            </w:r>
            <w:r>
              <w:rPr>
                <w:rFonts w:ascii="Times New Roman" w:hAnsi="Times New Roman" w:cs="Times New Roman"/>
                <w:kern w:val="0"/>
                <w:sz w:val="18"/>
                <w:szCs w:val="18"/>
              </w:rPr>
              <w:t>季学期</w:t>
            </w:r>
          </w:p>
        </w:tc>
        <w:tc>
          <w:tcPr>
            <w:tcW w:w="831" w:type="dxa"/>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cs="Times New Roman"/>
                <w:sz w:val="18"/>
                <w:szCs w:val="18"/>
              </w:rPr>
            </w:pPr>
          </w:p>
        </w:tc>
      </w:tr>
      <w:tr>
        <w:tblPrEx>
          <w:tblCellMar>
            <w:top w:w="0" w:type="dxa"/>
            <w:left w:w="108" w:type="dxa"/>
            <w:bottom w:w="0" w:type="dxa"/>
            <w:right w:w="108" w:type="dxa"/>
          </w:tblCellMar>
        </w:tblPrEx>
        <w:trPr>
          <w:jc w:val="center"/>
        </w:trPr>
        <w:tc>
          <w:tcPr>
            <w:tcW w:w="838" w:type="dxa"/>
            <w:vMerge w:val="continue"/>
            <w:tcBorders>
              <w:left w:val="single" w:color="auto" w:sz="4" w:space="0"/>
              <w:right w:val="single" w:color="auto" w:sz="4" w:space="0"/>
            </w:tcBorders>
            <w:vAlign w:val="center"/>
          </w:tcPr>
          <w:p>
            <w:pPr>
              <w:jc w:val="center"/>
              <w:rPr>
                <w:rFonts w:ascii="Times New Roman" w:hAnsi="Times New Roman" w:cs="Times New Roman"/>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Times New Roman" w:hAnsi="Times New Roman" w:cs="Times New Roman"/>
                <w:sz w:val="18"/>
                <w:szCs w:val="18"/>
              </w:rPr>
            </w:pPr>
            <w:r>
              <w:rPr>
                <w:rFonts w:ascii="Times New Roman" w:hAnsi="Times New Roman" w:cs="Times New Roman"/>
                <w:sz w:val="18"/>
                <w:szCs w:val="18"/>
              </w:rPr>
              <w:t>AECO5611102030</w:t>
            </w:r>
          </w:p>
        </w:tc>
        <w:tc>
          <w:tcPr>
            <w:tcW w:w="420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中级投资学</w:t>
            </w:r>
          </w:p>
          <w:p>
            <w:pPr>
              <w:rPr>
                <w:rFonts w:ascii="Times New Roman" w:hAnsi="Times New Roman" w:cs="Times New Roman"/>
                <w:sz w:val="18"/>
                <w:szCs w:val="18"/>
              </w:rPr>
            </w:pPr>
            <w:r>
              <w:rPr>
                <w:rFonts w:ascii="Times New Roman" w:hAnsi="Times New Roman" w:cs="Times New Roman"/>
                <w:kern w:val="0"/>
                <w:sz w:val="18"/>
                <w:szCs w:val="18"/>
              </w:rPr>
              <w:t>Intermediate Investment</w:t>
            </w:r>
          </w:p>
        </w:tc>
        <w:tc>
          <w:tcPr>
            <w:tcW w:w="659" w:type="dxa"/>
            <w:tcBorders>
              <w:top w:val="single" w:color="auto" w:sz="6" w:space="0"/>
              <w:left w:val="single" w:color="auto" w:sz="4" w:space="0"/>
              <w:bottom w:val="single" w:color="auto" w:sz="6" w:space="0"/>
              <w:right w:val="single" w:color="auto" w:sz="6" w:space="0"/>
            </w:tcBorders>
            <w:shd w:val="clear" w:color="auto" w:fill="FFFFFF" w:themeFill="background1"/>
            <w:vAlign w:val="center"/>
          </w:tcPr>
          <w:p>
            <w:pPr>
              <w:jc w:val="center"/>
              <w:rPr>
                <w:rFonts w:ascii="Times New Roman" w:hAnsi="Times New Roman" w:cs="Times New Roman"/>
                <w:sz w:val="18"/>
                <w:szCs w:val="18"/>
              </w:rPr>
            </w:pPr>
            <w:r>
              <w:rPr>
                <w:rFonts w:ascii="Times New Roman" w:hAnsi="Times New Roman" w:cs="Times New Roman"/>
                <w:sz w:val="18"/>
                <w:szCs w:val="18"/>
              </w:rPr>
              <w:t>2</w:t>
            </w:r>
          </w:p>
        </w:tc>
        <w:tc>
          <w:tcPr>
            <w:tcW w:w="699" w:type="dxa"/>
            <w:tcBorders>
              <w:top w:val="single" w:color="auto" w:sz="6" w:space="0"/>
              <w:left w:val="single" w:color="auto" w:sz="6" w:space="0"/>
              <w:bottom w:val="single" w:color="auto" w:sz="6" w:space="0"/>
              <w:right w:val="single" w:color="auto" w:sz="6" w:space="0"/>
            </w:tcBorders>
            <w:shd w:val="clear" w:color="auto" w:fill="FFFFFF" w:themeFill="background1"/>
            <w:vAlign w:val="center"/>
          </w:tcPr>
          <w:p>
            <w:pPr>
              <w:jc w:val="center"/>
              <w:rPr>
                <w:rFonts w:ascii="Times New Roman" w:hAnsi="Times New Roman" w:cs="Times New Roman"/>
                <w:sz w:val="18"/>
                <w:szCs w:val="18"/>
              </w:rPr>
            </w:pPr>
            <w:r>
              <w:rPr>
                <w:rFonts w:ascii="Times New Roman" w:hAnsi="Times New Roman" w:cs="Times New Roman"/>
                <w:kern w:val="0"/>
                <w:sz w:val="18"/>
                <w:szCs w:val="18"/>
              </w:rPr>
              <w:t>第二学年春季学期</w:t>
            </w:r>
          </w:p>
        </w:tc>
        <w:tc>
          <w:tcPr>
            <w:tcW w:w="831" w:type="dxa"/>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cs="Times New Roman"/>
                <w:sz w:val="18"/>
                <w:szCs w:val="18"/>
              </w:rPr>
            </w:pPr>
          </w:p>
        </w:tc>
      </w:tr>
      <w:tr>
        <w:tblPrEx>
          <w:tblCellMar>
            <w:top w:w="0" w:type="dxa"/>
            <w:left w:w="108" w:type="dxa"/>
            <w:bottom w:w="0" w:type="dxa"/>
            <w:right w:w="108" w:type="dxa"/>
          </w:tblCellMar>
        </w:tblPrEx>
        <w:trPr>
          <w:jc w:val="center"/>
        </w:trPr>
        <w:tc>
          <w:tcPr>
            <w:tcW w:w="838" w:type="dxa"/>
            <w:vMerge w:val="continue"/>
            <w:tcBorders>
              <w:left w:val="single" w:color="auto" w:sz="4" w:space="0"/>
              <w:right w:val="single" w:color="auto" w:sz="4" w:space="0"/>
            </w:tcBorders>
            <w:vAlign w:val="center"/>
          </w:tcPr>
          <w:p>
            <w:pPr>
              <w:jc w:val="center"/>
              <w:rPr>
                <w:rFonts w:ascii="Times New Roman" w:hAnsi="Times New Roman" w:cs="Times New Roman"/>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Times New Roman" w:hAnsi="Times New Roman" w:cs="Times New Roman"/>
                <w:sz w:val="18"/>
                <w:szCs w:val="18"/>
                <w:highlight w:val="yellow"/>
              </w:rPr>
            </w:pPr>
            <w:r>
              <w:rPr>
                <w:rFonts w:ascii="Times New Roman" w:hAnsi="Times New Roman" w:cs="Times New Roman"/>
                <w:sz w:val="18"/>
                <w:szCs w:val="18"/>
              </w:rPr>
              <w:t>AECO5611102028</w:t>
            </w:r>
          </w:p>
        </w:tc>
        <w:tc>
          <w:tcPr>
            <w:tcW w:w="420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金融法律专题</w:t>
            </w:r>
          </w:p>
          <w:p>
            <w:pPr>
              <w:rPr>
                <w:rFonts w:ascii="Times New Roman" w:hAnsi="Times New Roman" w:cs="Times New Roman"/>
                <w:sz w:val="18"/>
                <w:szCs w:val="18"/>
                <w:highlight w:val="yellow"/>
              </w:rPr>
            </w:pPr>
            <w:r>
              <w:rPr>
                <w:rFonts w:ascii="Times New Roman" w:hAnsi="Times New Roman" w:cs="Times New Roman"/>
                <w:kern w:val="0"/>
                <w:sz w:val="18"/>
                <w:szCs w:val="18"/>
              </w:rPr>
              <w:t xml:space="preserve">Topics on Financial Law </w:t>
            </w:r>
          </w:p>
        </w:tc>
        <w:tc>
          <w:tcPr>
            <w:tcW w:w="659" w:type="dxa"/>
            <w:tcBorders>
              <w:top w:val="single" w:color="auto" w:sz="6" w:space="0"/>
              <w:left w:val="single" w:color="auto" w:sz="4" w:space="0"/>
              <w:bottom w:val="single" w:color="auto" w:sz="6" w:space="0"/>
              <w:right w:val="single" w:color="auto" w:sz="6" w:space="0"/>
            </w:tcBorders>
            <w:shd w:val="clear" w:color="auto" w:fill="FFFFFF" w:themeFill="background1"/>
            <w:vAlign w:val="center"/>
          </w:tcPr>
          <w:p>
            <w:pPr>
              <w:jc w:val="center"/>
              <w:rPr>
                <w:rFonts w:ascii="Times New Roman" w:hAnsi="Times New Roman" w:cs="Times New Roman"/>
                <w:sz w:val="18"/>
                <w:szCs w:val="18"/>
              </w:rPr>
            </w:pPr>
            <w:r>
              <w:rPr>
                <w:rFonts w:ascii="Times New Roman" w:hAnsi="Times New Roman" w:cs="Times New Roman"/>
                <w:sz w:val="18"/>
                <w:szCs w:val="18"/>
              </w:rPr>
              <w:t>2</w:t>
            </w:r>
          </w:p>
        </w:tc>
        <w:tc>
          <w:tcPr>
            <w:tcW w:w="699" w:type="dxa"/>
            <w:tcBorders>
              <w:top w:val="single" w:color="auto" w:sz="6" w:space="0"/>
              <w:left w:val="single" w:color="auto" w:sz="6" w:space="0"/>
              <w:bottom w:val="single" w:color="auto" w:sz="6" w:space="0"/>
              <w:right w:val="single" w:color="auto" w:sz="6" w:space="0"/>
            </w:tcBorders>
            <w:shd w:val="clear" w:color="auto" w:fill="FFFFFF" w:themeFill="background1"/>
            <w:vAlign w:val="center"/>
          </w:tcPr>
          <w:p>
            <w:pPr>
              <w:jc w:val="center"/>
              <w:rPr>
                <w:rFonts w:ascii="Times New Roman" w:hAnsi="Times New Roman" w:cs="Times New Roman"/>
                <w:sz w:val="18"/>
                <w:szCs w:val="18"/>
              </w:rPr>
            </w:pPr>
            <w:r>
              <w:rPr>
                <w:rFonts w:ascii="Times New Roman" w:hAnsi="Times New Roman" w:cs="Times New Roman"/>
                <w:kern w:val="0"/>
                <w:sz w:val="18"/>
                <w:szCs w:val="18"/>
              </w:rPr>
              <w:t>第二学年春季学期</w:t>
            </w:r>
          </w:p>
        </w:tc>
        <w:tc>
          <w:tcPr>
            <w:tcW w:w="831" w:type="dxa"/>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cs="Times New Roman"/>
                <w:sz w:val="18"/>
                <w:szCs w:val="18"/>
              </w:rPr>
            </w:pPr>
          </w:p>
        </w:tc>
      </w:tr>
      <w:tr>
        <w:tblPrEx>
          <w:tblCellMar>
            <w:top w:w="0" w:type="dxa"/>
            <w:left w:w="108" w:type="dxa"/>
            <w:bottom w:w="0" w:type="dxa"/>
            <w:right w:w="108" w:type="dxa"/>
          </w:tblCellMar>
        </w:tblPrEx>
        <w:trPr>
          <w:jc w:val="center"/>
        </w:trPr>
        <w:tc>
          <w:tcPr>
            <w:tcW w:w="838" w:type="dxa"/>
            <w:vMerge w:val="continue"/>
            <w:tcBorders>
              <w:left w:val="single" w:color="auto" w:sz="4" w:space="0"/>
              <w:right w:val="single" w:color="auto" w:sz="4" w:space="0"/>
            </w:tcBorders>
            <w:vAlign w:val="center"/>
          </w:tcPr>
          <w:p>
            <w:pPr>
              <w:jc w:val="center"/>
              <w:rPr>
                <w:rFonts w:ascii="Times New Roman" w:hAnsi="Times New Roman" w:cs="Times New Roman"/>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Times New Roman" w:hAnsi="Times New Roman" w:cs="Times New Roman"/>
                <w:sz w:val="18"/>
                <w:szCs w:val="18"/>
              </w:rPr>
            </w:pPr>
            <w:r>
              <w:rPr>
                <w:rFonts w:ascii="Times New Roman" w:hAnsi="Times New Roman" w:cs="Times New Roman"/>
                <w:sz w:val="18"/>
                <w:szCs w:val="18"/>
              </w:rPr>
              <w:t>AECO5611102043</w:t>
            </w:r>
          </w:p>
        </w:tc>
        <w:tc>
          <w:tcPr>
            <w:tcW w:w="420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社会经济统计前沿</w:t>
            </w:r>
          </w:p>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Socioeconomic Statistics Frontier</w:t>
            </w:r>
          </w:p>
        </w:tc>
        <w:tc>
          <w:tcPr>
            <w:tcW w:w="659" w:type="dxa"/>
            <w:tcBorders>
              <w:top w:val="single" w:color="auto" w:sz="6" w:space="0"/>
              <w:left w:val="single" w:color="auto" w:sz="4" w:space="0"/>
              <w:bottom w:val="single" w:color="auto" w:sz="6" w:space="0"/>
              <w:right w:val="single" w:color="auto" w:sz="6" w:space="0"/>
            </w:tcBorders>
            <w:shd w:val="clear" w:color="auto" w:fill="FFFFFF" w:themeFill="background1"/>
            <w:vAlign w:val="center"/>
          </w:tcPr>
          <w:p>
            <w:pPr>
              <w:jc w:val="center"/>
              <w:rPr>
                <w:rFonts w:ascii="Times New Roman" w:hAnsi="Times New Roman" w:cs="Times New Roman"/>
                <w:sz w:val="18"/>
                <w:szCs w:val="18"/>
              </w:rPr>
            </w:pPr>
            <w:r>
              <w:rPr>
                <w:rFonts w:ascii="Times New Roman" w:hAnsi="Times New Roman" w:cs="Times New Roman"/>
                <w:sz w:val="18"/>
                <w:szCs w:val="18"/>
              </w:rPr>
              <w:t>2</w:t>
            </w:r>
          </w:p>
        </w:tc>
        <w:tc>
          <w:tcPr>
            <w:tcW w:w="699" w:type="dxa"/>
            <w:tcBorders>
              <w:top w:val="single" w:color="auto" w:sz="6" w:space="0"/>
              <w:left w:val="single" w:color="auto" w:sz="6" w:space="0"/>
              <w:bottom w:val="single" w:color="auto" w:sz="6" w:space="0"/>
              <w:right w:val="single" w:color="auto" w:sz="6" w:space="0"/>
            </w:tcBorders>
            <w:shd w:val="clear" w:color="auto" w:fill="FFFFFF" w:themeFill="background1"/>
            <w:vAlign w:val="center"/>
          </w:tcPr>
          <w:p>
            <w:pPr>
              <w:jc w:val="center"/>
              <w:rPr>
                <w:rFonts w:ascii="Times New Roman" w:hAnsi="Times New Roman" w:cs="Times New Roman"/>
                <w:sz w:val="18"/>
                <w:szCs w:val="18"/>
              </w:rPr>
            </w:pPr>
            <w:r>
              <w:rPr>
                <w:rFonts w:ascii="Times New Roman" w:hAnsi="Times New Roman" w:cs="Times New Roman"/>
                <w:kern w:val="0"/>
                <w:sz w:val="18"/>
                <w:szCs w:val="18"/>
              </w:rPr>
              <w:t>第二学年春季学期</w:t>
            </w:r>
          </w:p>
        </w:tc>
        <w:tc>
          <w:tcPr>
            <w:tcW w:w="831" w:type="dxa"/>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cs="Times New Roman"/>
                <w:sz w:val="18"/>
                <w:szCs w:val="18"/>
              </w:rPr>
            </w:pPr>
          </w:p>
        </w:tc>
      </w:tr>
      <w:tr>
        <w:tblPrEx>
          <w:tblCellMar>
            <w:top w:w="0" w:type="dxa"/>
            <w:left w:w="108" w:type="dxa"/>
            <w:bottom w:w="0" w:type="dxa"/>
            <w:right w:w="108" w:type="dxa"/>
          </w:tblCellMar>
        </w:tblPrEx>
        <w:trPr>
          <w:jc w:val="center"/>
        </w:trPr>
        <w:tc>
          <w:tcPr>
            <w:tcW w:w="838" w:type="dxa"/>
            <w:vMerge w:val="continue"/>
            <w:tcBorders>
              <w:left w:val="single" w:color="auto" w:sz="4" w:space="0"/>
              <w:right w:val="single" w:color="auto" w:sz="4" w:space="0"/>
            </w:tcBorders>
            <w:vAlign w:val="center"/>
          </w:tcPr>
          <w:p>
            <w:pPr>
              <w:jc w:val="center"/>
              <w:rPr>
                <w:rFonts w:ascii="Times New Roman" w:hAnsi="Times New Roman" w:cs="Times New Roman"/>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Times New Roman" w:hAnsi="Times New Roman" w:cs="Times New Roman"/>
                <w:sz w:val="18"/>
                <w:szCs w:val="18"/>
              </w:rPr>
            </w:pPr>
            <w:r>
              <w:rPr>
                <w:rFonts w:ascii="Times New Roman" w:hAnsi="Times New Roman" w:cs="Times New Roman"/>
                <w:sz w:val="18"/>
                <w:szCs w:val="18"/>
              </w:rPr>
              <w:t>AECO5611102047</w:t>
            </w:r>
          </w:p>
        </w:tc>
        <w:tc>
          <w:tcPr>
            <w:tcW w:w="420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Times New Roman" w:hAnsi="Times New Roman" w:cs="Times New Roman"/>
                <w:kern w:val="0"/>
                <w:sz w:val="18"/>
                <w:szCs w:val="18"/>
              </w:rPr>
            </w:pPr>
            <w:r>
              <w:rPr>
                <w:rFonts w:ascii="Times New Roman" w:hAnsi="Times New Roman" w:cs="Times New Roman"/>
                <w:kern w:val="0"/>
                <w:sz w:val="18"/>
                <w:szCs w:val="18"/>
              </w:rPr>
              <w:t>大数据分析技术及应用</w:t>
            </w:r>
          </w:p>
          <w:p>
            <w:pPr>
              <w:rPr>
                <w:rFonts w:ascii="Times New Roman" w:hAnsi="Times New Roman" w:cs="Times New Roman"/>
                <w:color w:val="FF0000"/>
                <w:kern w:val="0"/>
                <w:sz w:val="18"/>
                <w:szCs w:val="18"/>
              </w:rPr>
            </w:pPr>
            <w:r>
              <w:rPr>
                <w:rFonts w:ascii="Times New Roman" w:hAnsi="Times New Roman" w:cs="Times New Roman"/>
                <w:kern w:val="0"/>
                <w:sz w:val="18"/>
                <w:szCs w:val="18"/>
              </w:rPr>
              <w:t>Big Data Analysis Technology and its Application</w:t>
            </w:r>
          </w:p>
        </w:tc>
        <w:tc>
          <w:tcPr>
            <w:tcW w:w="659" w:type="dxa"/>
            <w:tcBorders>
              <w:top w:val="single" w:color="auto" w:sz="6" w:space="0"/>
              <w:left w:val="single" w:color="auto" w:sz="4" w:space="0"/>
              <w:bottom w:val="single" w:color="auto" w:sz="6" w:space="0"/>
              <w:right w:val="single" w:color="auto" w:sz="6" w:space="0"/>
            </w:tcBorders>
            <w:shd w:val="clear" w:color="auto" w:fill="FFFFFF" w:themeFill="background1"/>
            <w:vAlign w:val="center"/>
          </w:tcPr>
          <w:p>
            <w:pPr>
              <w:jc w:val="center"/>
              <w:rPr>
                <w:rFonts w:ascii="Times New Roman" w:hAnsi="Times New Roman" w:cs="Times New Roman"/>
                <w:sz w:val="18"/>
                <w:szCs w:val="18"/>
              </w:rPr>
            </w:pPr>
            <w:r>
              <w:rPr>
                <w:rFonts w:ascii="Times New Roman" w:hAnsi="Times New Roman" w:cs="Times New Roman"/>
                <w:sz w:val="18"/>
                <w:szCs w:val="18"/>
              </w:rPr>
              <w:t>2</w:t>
            </w:r>
          </w:p>
        </w:tc>
        <w:tc>
          <w:tcPr>
            <w:tcW w:w="699" w:type="dxa"/>
            <w:tcBorders>
              <w:top w:val="single" w:color="auto" w:sz="6" w:space="0"/>
              <w:left w:val="single" w:color="auto" w:sz="6" w:space="0"/>
              <w:bottom w:val="single" w:color="auto" w:sz="6" w:space="0"/>
              <w:right w:val="single" w:color="auto" w:sz="6" w:space="0"/>
            </w:tcBorders>
            <w:shd w:val="clear" w:color="auto" w:fill="FFFFFF" w:themeFill="background1"/>
            <w:vAlign w:val="center"/>
          </w:tcPr>
          <w:p>
            <w:pPr>
              <w:jc w:val="center"/>
              <w:rPr>
                <w:rFonts w:ascii="Times New Roman" w:hAnsi="Times New Roman" w:cs="Times New Roman"/>
                <w:sz w:val="18"/>
                <w:szCs w:val="18"/>
              </w:rPr>
            </w:pPr>
            <w:r>
              <w:rPr>
                <w:rFonts w:ascii="Times New Roman" w:hAnsi="Times New Roman" w:cs="Times New Roman"/>
                <w:kern w:val="0"/>
                <w:sz w:val="18"/>
                <w:szCs w:val="18"/>
              </w:rPr>
              <w:t>第二学年秋季学期</w:t>
            </w:r>
          </w:p>
        </w:tc>
        <w:tc>
          <w:tcPr>
            <w:tcW w:w="831" w:type="dxa"/>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cs="Times New Roman"/>
                <w:sz w:val="18"/>
                <w:szCs w:val="18"/>
              </w:rPr>
            </w:pPr>
          </w:p>
        </w:tc>
      </w:tr>
      <w:tr>
        <w:tblPrEx>
          <w:tblCellMar>
            <w:top w:w="0" w:type="dxa"/>
            <w:left w:w="108" w:type="dxa"/>
            <w:bottom w:w="0" w:type="dxa"/>
            <w:right w:w="108" w:type="dxa"/>
          </w:tblCellMar>
        </w:tblPrEx>
        <w:trPr>
          <w:jc w:val="center"/>
        </w:trPr>
        <w:tc>
          <w:tcPr>
            <w:tcW w:w="838" w:type="dxa"/>
            <w:vMerge w:val="continue"/>
            <w:tcBorders>
              <w:left w:val="single" w:color="auto" w:sz="4" w:space="0"/>
              <w:right w:val="single" w:color="auto" w:sz="4" w:space="0"/>
            </w:tcBorders>
            <w:vAlign w:val="center"/>
          </w:tcPr>
          <w:p>
            <w:pPr>
              <w:jc w:val="center"/>
              <w:rPr>
                <w:rFonts w:ascii="Times New Roman" w:hAnsi="Times New Roman" w:cs="Times New Roman"/>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Times New Roman" w:hAnsi="Times New Roman" w:cs="Times New Roman"/>
                <w:sz w:val="18"/>
                <w:szCs w:val="18"/>
              </w:rPr>
            </w:pPr>
            <w:r>
              <w:rPr>
                <w:rFonts w:ascii="Times New Roman" w:hAnsi="Times New Roman" w:cs="Times New Roman"/>
                <w:sz w:val="18"/>
                <w:szCs w:val="18"/>
              </w:rPr>
              <w:t>AECO5611102048</w:t>
            </w:r>
          </w:p>
        </w:tc>
        <w:tc>
          <w:tcPr>
            <w:tcW w:w="420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Times New Roman" w:hAnsi="Times New Roman" w:cs="Times New Roman"/>
                <w:kern w:val="0"/>
                <w:sz w:val="18"/>
                <w:szCs w:val="18"/>
              </w:rPr>
            </w:pPr>
            <w:r>
              <w:rPr>
                <w:rFonts w:ascii="Times New Roman" w:hAnsi="Times New Roman" w:cs="Times New Roman"/>
                <w:kern w:val="0"/>
                <w:sz w:val="18"/>
                <w:szCs w:val="18"/>
              </w:rPr>
              <w:t>量化金融</w:t>
            </w:r>
          </w:p>
          <w:p>
            <w:pPr>
              <w:rPr>
                <w:rFonts w:ascii="Times New Roman" w:hAnsi="Times New Roman" w:cs="Times New Roman"/>
                <w:kern w:val="0"/>
                <w:sz w:val="18"/>
                <w:szCs w:val="18"/>
              </w:rPr>
            </w:pPr>
            <w:r>
              <w:rPr>
                <w:rFonts w:ascii="Times New Roman" w:hAnsi="Times New Roman" w:cs="Times New Roman"/>
                <w:kern w:val="0"/>
                <w:sz w:val="18"/>
                <w:szCs w:val="18"/>
              </w:rPr>
              <w:t>Quantitative Finance</w:t>
            </w:r>
          </w:p>
        </w:tc>
        <w:tc>
          <w:tcPr>
            <w:tcW w:w="659" w:type="dxa"/>
            <w:tcBorders>
              <w:top w:val="single" w:color="auto" w:sz="6" w:space="0"/>
              <w:left w:val="single" w:color="auto" w:sz="4" w:space="0"/>
              <w:bottom w:val="single" w:color="auto" w:sz="6" w:space="0"/>
              <w:right w:val="single" w:color="auto" w:sz="6" w:space="0"/>
            </w:tcBorders>
            <w:shd w:val="clear" w:color="auto" w:fill="FFFFFF" w:themeFill="background1"/>
            <w:vAlign w:val="center"/>
          </w:tcPr>
          <w:p>
            <w:pPr>
              <w:jc w:val="center"/>
              <w:rPr>
                <w:rFonts w:ascii="Times New Roman" w:hAnsi="Times New Roman" w:cs="Times New Roman"/>
                <w:sz w:val="18"/>
                <w:szCs w:val="18"/>
              </w:rPr>
            </w:pPr>
            <w:r>
              <w:rPr>
                <w:rFonts w:ascii="Times New Roman" w:hAnsi="Times New Roman" w:cs="Times New Roman"/>
                <w:sz w:val="18"/>
                <w:szCs w:val="18"/>
              </w:rPr>
              <w:t>2</w:t>
            </w:r>
          </w:p>
        </w:tc>
        <w:tc>
          <w:tcPr>
            <w:tcW w:w="699" w:type="dxa"/>
            <w:tcBorders>
              <w:top w:val="single" w:color="auto" w:sz="6" w:space="0"/>
              <w:left w:val="single" w:color="auto" w:sz="6" w:space="0"/>
              <w:bottom w:val="single" w:color="auto" w:sz="6" w:space="0"/>
              <w:right w:val="single" w:color="auto" w:sz="6" w:space="0"/>
            </w:tcBorders>
            <w:shd w:val="clear" w:color="auto" w:fill="FFFFFF" w:themeFill="background1"/>
            <w:vAlign w:val="center"/>
          </w:tcPr>
          <w:p>
            <w:pPr>
              <w:jc w:val="center"/>
              <w:rPr>
                <w:rFonts w:ascii="Times New Roman" w:hAnsi="Times New Roman" w:cs="Times New Roman"/>
                <w:sz w:val="18"/>
                <w:szCs w:val="18"/>
              </w:rPr>
            </w:pPr>
            <w:r>
              <w:rPr>
                <w:rFonts w:ascii="Times New Roman" w:hAnsi="Times New Roman" w:cs="Times New Roman"/>
                <w:kern w:val="0"/>
                <w:sz w:val="18"/>
                <w:szCs w:val="18"/>
              </w:rPr>
              <w:t>第二学年秋季学期</w:t>
            </w:r>
          </w:p>
        </w:tc>
        <w:tc>
          <w:tcPr>
            <w:tcW w:w="831" w:type="dxa"/>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cs="Times New Roman"/>
                <w:sz w:val="18"/>
                <w:szCs w:val="18"/>
              </w:rPr>
            </w:pPr>
          </w:p>
        </w:tc>
      </w:tr>
      <w:tr>
        <w:tblPrEx>
          <w:tblCellMar>
            <w:top w:w="0" w:type="dxa"/>
            <w:left w:w="108" w:type="dxa"/>
            <w:bottom w:w="0" w:type="dxa"/>
            <w:right w:w="108" w:type="dxa"/>
          </w:tblCellMar>
        </w:tblPrEx>
        <w:trPr>
          <w:jc w:val="center"/>
        </w:trPr>
        <w:tc>
          <w:tcPr>
            <w:tcW w:w="838" w:type="dxa"/>
            <w:vMerge w:val="continue"/>
            <w:tcBorders>
              <w:left w:val="single" w:color="auto" w:sz="4" w:space="0"/>
              <w:right w:val="single" w:color="auto" w:sz="4" w:space="0"/>
            </w:tcBorders>
            <w:vAlign w:val="center"/>
          </w:tcPr>
          <w:p>
            <w:pPr>
              <w:jc w:val="center"/>
              <w:rPr>
                <w:rFonts w:ascii="Times New Roman" w:hAnsi="Times New Roman" w:cs="Times New Roman"/>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Times New Roman" w:hAnsi="Times New Roman" w:cs="Times New Roman"/>
                <w:sz w:val="18"/>
                <w:szCs w:val="18"/>
              </w:rPr>
            </w:pPr>
            <w:r>
              <w:rPr>
                <w:rFonts w:ascii="Times New Roman" w:hAnsi="Times New Roman" w:cs="Times New Roman"/>
                <w:sz w:val="18"/>
                <w:szCs w:val="18"/>
              </w:rPr>
              <w:t>AECO5611102029</w:t>
            </w:r>
          </w:p>
        </w:tc>
        <w:tc>
          <w:tcPr>
            <w:tcW w:w="420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Times New Roman" w:hAnsi="Times New Roman" w:cs="Times New Roman"/>
                <w:kern w:val="0"/>
                <w:sz w:val="18"/>
                <w:szCs w:val="18"/>
              </w:rPr>
            </w:pPr>
            <w:r>
              <w:rPr>
                <w:rFonts w:hint="eastAsia" w:ascii="Times New Roman" w:hAnsi="Times New Roman" w:cs="Times New Roman"/>
                <w:kern w:val="0"/>
                <w:sz w:val="18"/>
                <w:szCs w:val="18"/>
              </w:rPr>
              <w:t>国际投资专题</w:t>
            </w:r>
          </w:p>
          <w:p>
            <w:pPr>
              <w:rPr>
                <w:rFonts w:ascii="Times New Roman" w:hAnsi="Times New Roman" w:cs="Times New Roman"/>
                <w:kern w:val="0"/>
                <w:sz w:val="18"/>
                <w:szCs w:val="18"/>
              </w:rPr>
            </w:pPr>
            <w:r>
              <w:rPr>
                <w:rFonts w:ascii="Times New Roman" w:hAnsi="Times New Roman" w:cs="Times New Roman"/>
                <w:kern w:val="0"/>
                <w:sz w:val="18"/>
                <w:szCs w:val="18"/>
              </w:rPr>
              <w:t>Topics on International Investments</w:t>
            </w:r>
          </w:p>
        </w:tc>
        <w:tc>
          <w:tcPr>
            <w:tcW w:w="659" w:type="dxa"/>
            <w:tcBorders>
              <w:top w:val="single" w:color="auto" w:sz="6" w:space="0"/>
              <w:left w:val="single" w:color="auto" w:sz="4" w:space="0"/>
              <w:bottom w:val="single" w:color="auto" w:sz="6" w:space="0"/>
              <w:right w:val="single" w:color="auto" w:sz="6" w:space="0"/>
            </w:tcBorders>
            <w:shd w:val="clear" w:color="auto" w:fill="FFFFFF" w:themeFill="background1"/>
            <w:vAlign w:val="center"/>
          </w:tcPr>
          <w:p>
            <w:pPr>
              <w:jc w:val="center"/>
              <w:rPr>
                <w:rFonts w:ascii="Times New Roman" w:hAnsi="Times New Roman" w:cs="Times New Roman"/>
                <w:sz w:val="18"/>
                <w:szCs w:val="18"/>
              </w:rPr>
            </w:pPr>
            <w:r>
              <w:rPr>
                <w:rFonts w:ascii="Times New Roman" w:hAnsi="Times New Roman" w:cs="Times New Roman"/>
                <w:sz w:val="18"/>
                <w:szCs w:val="18"/>
              </w:rPr>
              <w:t>2</w:t>
            </w:r>
          </w:p>
        </w:tc>
        <w:tc>
          <w:tcPr>
            <w:tcW w:w="699" w:type="dxa"/>
            <w:tcBorders>
              <w:top w:val="single" w:color="auto" w:sz="6" w:space="0"/>
              <w:left w:val="single" w:color="auto" w:sz="6" w:space="0"/>
              <w:bottom w:val="single" w:color="auto" w:sz="6" w:space="0"/>
              <w:right w:val="single" w:color="auto" w:sz="6" w:space="0"/>
            </w:tcBorders>
            <w:shd w:val="clear" w:color="auto" w:fill="FFFFFF" w:themeFill="background1"/>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第二学年秋季学期</w:t>
            </w:r>
          </w:p>
        </w:tc>
        <w:tc>
          <w:tcPr>
            <w:tcW w:w="831" w:type="dxa"/>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cs="Times New Roman"/>
                <w:sz w:val="18"/>
                <w:szCs w:val="18"/>
              </w:rPr>
            </w:pPr>
          </w:p>
        </w:tc>
      </w:tr>
      <w:tr>
        <w:tblPrEx>
          <w:tblCellMar>
            <w:top w:w="0" w:type="dxa"/>
            <w:left w:w="108" w:type="dxa"/>
            <w:bottom w:w="0" w:type="dxa"/>
            <w:right w:w="108" w:type="dxa"/>
          </w:tblCellMar>
        </w:tblPrEx>
        <w:trPr>
          <w:jc w:val="center"/>
        </w:trPr>
        <w:tc>
          <w:tcPr>
            <w:tcW w:w="838" w:type="dxa"/>
            <w:vMerge w:val="continue"/>
            <w:tcBorders>
              <w:left w:val="single" w:color="auto" w:sz="4" w:space="0"/>
              <w:right w:val="single" w:color="auto" w:sz="4" w:space="0"/>
            </w:tcBorders>
            <w:vAlign w:val="center"/>
          </w:tcPr>
          <w:p>
            <w:pPr>
              <w:jc w:val="center"/>
              <w:rPr>
                <w:rFonts w:ascii="Times New Roman" w:hAnsi="Times New Roman" w:cs="Times New Roman"/>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Times New Roman" w:hAnsi="Times New Roman" w:cs="Times New Roman"/>
                <w:sz w:val="18"/>
                <w:szCs w:val="18"/>
              </w:rPr>
            </w:pPr>
            <w:r>
              <w:rPr>
                <w:rFonts w:ascii="Times New Roman" w:hAnsi="Times New Roman" w:cs="Times New Roman"/>
                <w:sz w:val="18"/>
                <w:szCs w:val="18"/>
              </w:rPr>
              <w:t>AECO3311102004</w:t>
            </w:r>
          </w:p>
        </w:tc>
        <w:tc>
          <w:tcPr>
            <w:tcW w:w="420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Times New Roman" w:hAnsi="Times New Roman" w:cs="Times New Roman"/>
                <w:sz w:val="18"/>
                <w:szCs w:val="18"/>
              </w:rPr>
            </w:pPr>
            <w:r>
              <w:rPr>
                <w:rStyle w:val="40"/>
                <w:rFonts w:ascii="Times New Roman" w:hAnsi="Times New Roman" w:cs="Times New Roman"/>
                <w:sz w:val="18"/>
                <w:szCs w:val="18"/>
                <w:lang w:val="zh-TW" w:eastAsia="zh-TW"/>
              </w:rPr>
              <w:t>区域经济学原理</w:t>
            </w:r>
          </w:p>
          <w:p>
            <w:pPr>
              <w:rPr>
                <w:rStyle w:val="40"/>
                <w:rFonts w:ascii="Times New Roman" w:hAnsi="Times New Roman" w:cs="Times New Roman"/>
                <w:sz w:val="18"/>
                <w:szCs w:val="18"/>
              </w:rPr>
            </w:pPr>
            <w:r>
              <w:rPr>
                <w:rStyle w:val="40"/>
                <w:rFonts w:ascii="Times New Roman" w:hAnsi="Times New Roman" w:cs="Times New Roman"/>
                <w:sz w:val="18"/>
                <w:szCs w:val="18"/>
              </w:rPr>
              <w:t>Principles of Regional Economics</w:t>
            </w:r>
          </w:p>
        </w:tc>
        <w:tc>
          <w:tcPr>
            <w:tcW w:w="659" w:type="dxa"/>
            <w:tcBorders>
              <w:top w:val="single" w:color="auto" w:sz="6" w:space="0"/>
              <w:left w:val="single" w:color="auto" w:sz="4" w:space="0"/>
              <w:bottom w:val="single" w:color="auto" w:sz="6" w:space="0"/>
              <w:right w:val="single" w:color="auto" w:sz="6" w:space="0"/>
            </w:tcBorders>
            <w:shd w:val="clear" w:color="auto" w:fill="FFFFFF" w:themeFill="background1"/>
            <w:vAlign w:val="center"/>
          </w:tcPr>
          <w:p>
            <w:pPr>
              <w:jc w:val="center"/>
              <w:rPr>
                <w:rFonts w:ascii="Times New Roman" w:hAnsi="Times New Roman" w:cs="Times New Roman"/>
                <w:sz w:val="18"/>
                <w:szCs w:val="18"/>
              </w:rPr>
            </w:pPr>
            <w:r>
              <w:rPr>
                <w:rFonts w:ascii="Times New Roman" w:hAnsi="Times New Roman" w:cs="Times New Roman"/>
                <w:sz w:val="18"/>
                <w:szCs w:val="18"/>
              </w:rPr>
              <w:t>2</w:t>
            </w:r>
          </w:p>
        </w:tc>
        <w:tc>
          <w:tcPr>
            <w:tcW w:w="699" w:type="dxa"/>
            <w:tcBorders>
              <w:top w:val="single" w:color="auto" w:sz="6" w:space="0"/>
              <w:left w:val="single" w:color="auto" w:sz="6" w:space="0"/>
              <w:bottom w:val="single" w:color="auto" w:sz="6" w:space="0"/>
              <w:right w:val="single" w:color="auto" w:sz="6" w:space="0"/>
            </w:tcBorders>
            <w:shd w:val="clear" w:color="auto" w:fill="FFFFFF" w:themeFill="background1"/>
            <w:vAlign w:val="center"/>
          </w:tcPr>
          <w:p>
            <w:pPr>
              <w:jc w:val="center"/>
              <w:rPr>
                <w:rFonts w:ascii="Times New Roman" w:hAnsi="Times New Roman" w:cs="Times New Roman"/>
                <w:kern w:val="0"/>
                <w:sz w:val="18"/>
                <w:szCs w:val="18"/>
              </w:rPr>
            </w:pPr>
            <w:r>
              <w:rPr>
                <w:rStyle w:val="40"/>
                <w:rFonts w:ascii="Times New Roman" w:hAnsi="Times New Roman" w:cs="Times New Roman"/>
                <w:sz w:val="18"/>
                <w:szCs w:val="18"/>
                <w:lang w:val="zh-TW" w:eastAsia="zh-TW"/>
              </w:rPr>
              <w:t>第一学年秋季学期</w:t>
            </w:r>
          </w:p>
        </w:tc>
        <w:tc>
          <w:tcPr>
            <w:tcW w:w="831" w:type="dxa"/>
            <w:tcBorders>
              <w:top w:val="single" w:color="auto" w:sz="6" w:space="0"/>
              <w:left w:val="single" w:color="auto" w:sz="6" w:space="0"/>
              <w:bottom w:val="single" w:color="auto" w:sz="6" w:space="0"/>
              <w:right w:val="single" w:color="auto" w:sz="4" w:space="0"/>
            </w:tcBorders>
            <w:shd w:val="clear" w:color="auto" w:fill="FFFFFF" w:themeFill="background1"/>
          </w:tcPr>
          <w:p>
            <w:pPr>
              <w:jc w:val="center"/>
              <w:rPr>
                <w:rFonts w:ascii="Times New Roman" w:hAnsi="Times New Roman" w:cs="Times New Roman"/>
                <w:sz w:val="18"/>
                <w:szCs w:val="18"/>
              </w:rPr>
            </w:pPr>
            <w:r>
              <w:rPr>
                <w:rFonts w:ascii="Times New Roman" w:hAnsi="Times New Roman" w:cs="Times New Roman"/>
                <w:sz w:val="18"/>
                <w:szCs w:val="18"/>
              </w:rPr>
              <w:t>城市与区域科学学院区域经济学选修</w:t>
            </w:r>
          </w:p>
        </w:tc>
      </w:tr>
      <w:tr>
        <w:tblPrEx>
          <w:tblCellMar>
            <w:top w:w="0" w:type="dxa"/>
            <w:left w:w="108" w:type="dxa"/>
            <w:bottom w:w="0" w:type="dxa"/>
            <w:right w:w="108" w:type="dxa"/>
          </w:tblCellMar>
        </w:tblPrEx>
        <w:trPr>
          <w:jc w:val="center"/>
        </w:trPr>
        <w:tc>
          <w:tcPr>
            <w:tcW w:w="838" w:type="dxa"/>
            <w:vMerge w:val="continue"/>
            <w:tcBorders>
              <w:left w:val="single" w:color="auto" w:sz="4" w:space="0"/>
              <w:right w:val="single" w:color="auto" w:sz="4" w:space="0"/>
            </w:tcBorders>
            <w:vAlign w:val="center"/>
          </w:tcPr>
          <w:p>
            <w:pPr>
              <w:jc w:val="center"/>
              <w:rPr>
                <w:rFonts w:ascii="Times New Roman" w:hAnsi="Times New Roman" w:cs="Times New Roman"/>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Times New Roman" w:hAnsi="Times New Roman" w:cs="Times New Roman"/>
                <w:sz w:val="18"/>
                <w:szCs w:val="18"/>
              </w:rPr>
            </w:pPr>
            <w:r>
              <w:rPr>
                <w:rFonts w:ascii="Times New Roman" w:hAnsi="Times New Roman" w:cs="Times New Roman"/>
                <w:sz w:val="18"/>
                <w:szCs w:val="18"/>
              </w:rPr>
              <w:t>GEOG3311102013</w:t>
            </w:r>
          </w:p>
        </w:tc>
        <w:tc>
          <w:tcPr>
            <w:tcW w:w="420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Style w:val="40"/>
                <w:rFonts w:ascii="Times New Roman" w:hAnsi="Times New Roman" w:cs="Times New Roman"/>
                <w:sz w:val="18"/>
                <w:szCs w:val="18"/>
              </w:rPr>
            </w:pPr>
            <w:r>
              <w:rPr>
                <w:rStyle w:val="40"/>
                <w:rFonts w:ascii="Times New Roman" w:hAnsi="Times New Roman" w:cs="Times New Roman"/>
                <w:sz w:val="18"/>
                <w:szCs w:val="18"/>
              </w:rPr>
              <w:t>区域经济增长理论与政策</w:t>
            </w:r>
          </w:p>
          <w:p>
            <w:pPr>
              <w:rPr>
                <w:rFonts w:ascii="Times New Roman" w:hAnsi="Times New Roman" w:cs="Times New Roman"/>
                <w:sz w:val="18"/>
                <w:szCs w:val="18"/>
              </w:rPr>
            </w:pPr>
            <w:r>
              <w:rPr>
                <w:rStyle w:val="40"/>
                <w:rFonts w:ascii="Times New Roman" w:hAnsi="Times New Roman" w:cs="Times New Roman"/>
                <w:sz w:val="18"/>
                <w:szCs w:val="18"/>
              </w:rPr>
              <w:t>Regional Economic Growth Theory and Policy</w:t>
            </w:r>
          </w:p>
        </w:tc>
        <w:tc>
          <w:tcPr>
            <w:tcW w:w="659" w:type="dxa"/>
            <w:tcBorders>
              <w:top w:val="single" w:color="auto" w:sz="6" w:space="0"/>
              <w:left w:val="single" w:color="auto" w:sz="4" w:space="0"/>
              <w:bottom w:val="single" w:color="auto" w:sz="6" w:space="0"/>
              <w:right w:val="single" w:color="auto" w:sz="6" w:space="0"/>
            </w:tcBorders>
            <w:shd w:val="clear" w:color="auto" w:fill="FFFFFF" w:themeFill="background1"/>
            <w:vAlign w:val="center"/>
          </w:tcPr>
          <w:p>
            <w:pPr>
              <w:jc w:val="center"/>
              <w:rPr>
                <w:rFonts w:ascii="Times New Roman" w:hAnsi="Times New Roman" w:cs="Times New Roman"/>
                <w:sz w:val="18"/>
                <w:szCs w:val="18"/>
              </w:rPr>
            </w:pPr>
            <w:r>
              <w:rPr>
                <w:rFonts w:ascii="Times New Roman" w:hAnsi="Times New Roman" w:cs="Times New Roman"/>
                <w:sz w:val="18"/>
                <w:szCs w:val="18"/>
              </w:rPr>
              <w:t>2</w:t>
            </w:r>
          </w:p>
        </w:tc>
        <w:tc>
          <w:tcPr>
            <w:tcW w:w="699" w:type="dxa"/>
            <w:tcBorders>
              <w:top w:val="single" w:color="auto" w:sz="6" w:space="0"/>
              <w:left w:val="single" w:color="auto" w:sz="6" w:space="0"/>
              <w:bottom w:val="single" w:color="auto" w:sz="6" w:space="0"/>
              <w:right w:val="single" w:color="auto" w:sz="6" w:space="0"/>
            </w:tcBorders>
            <w:shd w:val="clear" w:color="auto" w:fill="FFFFFF" w:themeFill="background1"/>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第一学年秋季学期</w:t>
            </w:r>
          </w:p>
        </w:tc>
        <w:tc>
          <w:tcPr>
            <w:tcW w:w="831" w:type="dxa"/>
            <w:tcBorders>
              <w:top w:val="single" w:color="auto" w:sz="6" w:space="0"/>
              <w:left w:val="single" w:color="auto" w:sz="6" w:space="0"/>
              <w:bottom w:val="single" w:color="auto" w:sz="6" w:space="0"/>
              <w:right w:val="single" w:color="auto" w:sz="4" w:space="0"/>
            </w:tcBorders>
            <w:shd w:val="clear" w:color="auto" w:fill="FFFFFF" w:themeFill="background1"/>
          </w:tcPr>
          <w:p>
            <w:pPr>
              <w:jc w:val="center"/>
              <w:rPr>
                <w:rFonts w:ascii="Times New Roman" w:hAnsi="Times New Roman" w:cs="Times New Roman"/>
                <w:sz w:val="18"/>
                <w:szCs w:val="18"/>
              </w:rPr>
            </w:pPr>
            <w:r>
              <w:rPr>
                <w:rFonts w:ascii="Times New Roman" w:hAnsi="Times New Roman" w:cs="Times New Roman"/>
                <w:sz w:val="18"/>
                <w:szCs w:val="18"/>
              </w:rPr>
              <w:t>城市与区域科学学院区域经济学选修</w:t>
            </w:r>
          </w:p>
        </w:tc>
      </w:tr>
      <w:tr>
        <w:tblPrEx>
          <w:tblCellMar>
            <w:top w:w="0" w:type="dxa"/>
            <w:left w:w="108" w:type="dxa"/>
            <w:bottom w:w="0" w:type="dxa"/>
            <w:right w:w="108" w:type="dxa"/>
          </w:tblCellMar>
        </w:tblPrEx>
        <w:trPr>
          <w:jc w:val="center"/>
        </w:trPr>
        <w:tc>
          <w:tcPr>
            <w:tcW w:w="838" w:type="dxa"/>
            <w:vMerge w:val="continue"/>
            <w:tcBorders>
              <w:left w:val="single" w:color="auto" w:sz="4" w:space="0"/>
              <w:right w:val="single" w:color="auto" w:sz="4" w:space="0"/>
            </w:tcBorders>
            <w:vAlign w:val="center"/>
          </w:tcPr>
          <w:p>
            <w:pPr>
              <w:jc w:val="center"/>
              <w:rPr>
                <w:rFonts w:ascii="Times New Roman" w:hAnsi="Times New Roman" w:cs="Times New Roman"/>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Times New Roman" w:hAnsi="Times New Roman" w:cs="Times New Roman"/>
                <w:sz w:val="18"/>
                <w:szCs w:val="18"/>
              </w:rPr>
            </w:pPr>
            <w:r>
              <w:rPr>
                <w:rFonts w:ascii="Times New Roman" w:hAnsi="Times New Roman" w:cs="Times New Roman"/>
                <w:sz w:val="18"/>
                <w:szCs w:val="18"/>
              </w:rPr>
              <w:t>AECO3311102003</w:t>
            </w:r>
          </w:p>
        </w:tc>
        <w:tc>
          <w:tcPr>
            <w:tcW w:w="420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Times New Roman" w:hAnsi="Times New Roman" w:cs="Times New Roman"/>
                <w:sz w:val="18"/>
                <w:szCs w:val="18"/>
              </w:rPr>
            </w:pPr>
            <w:r>
              <w:rPr>
                <w:rStyle w:val="40"/>
                <w:rFonts w:ascii="Times New Roman" w:hAnsi="Times New Roman" w:cs="Times New Roman"/>
                <w:sz w:val="18"/>
                <w:szCs w:val="18"/>
                <w:lang w:val="zh-TW" w:eastAsia="zh-TW"/>
              </w:rPr>
              <w:t>发展经济学</w:t>
            </w:r>
          </w:p>
          <w:p>
            <w:pPr>
              <w:rPr>
                <w:rStyle w:val="40"/>
                <w:rFonts w:ascii="Times New Roman" w:hAnsi="Times New Roman" w:cs="Times New Roman"/>
                <w:sz w:val="18"/>
                <w:szCs w:val="18"/>
              </w:rPr>
            </w:pPr>
            <w:r>
              <w:rPr>
                <w:rStyle w:val="40"/>
                <w:rFonts w:ascii="Times New Roman" w:hAnsi="Times New Roman" w:cs="Times New Roman"/>
                <w:sz w:val="18"/>
                <w:szCs w:val="18"/>
              </w:rPr>
              <w:t>Development Ec</w:t>
            </w:r>
            <w:r>
              <w:rPr>
                <w:rStyle w:val="19"/>
                <w:rFonts w:ascii="Times New Roman" w:hAnsi="Times New Roman" w:cs="Times New Roman"/>
              </w:rPr>
              <w:t>onomy</w:t>
            </w:r>
          </w:p>
        </w:tc>
        <w:tc>
          <w:tcPr>
            <w:tcW w:w="659" w:type="dxa"/>
            <w:tcBorders>
              <w:top w:val="single" w:color="auto" w:sz="6" w:space="0"/>
              <w:left w:val="single" w:color="auto" w:sz="4" w:space="0"/>
              <w:bottom w:val="single" w:color="auto" w:sz="6" w:space="0"/>
              <w:right w:val="single" w:color="auto" w:sz="6" w:space="0"/>
            </w:tcBorders>
            <w:shd w:val="clear" w:color="auto" w:fill="FFFFFF" w:themeFill="background1"/>
            <w:vAlign w:val="center"/>
          </w:tcPr>
          <w:p>
            <w:pPr>
              <w:jc w:val="center"/>
              <w:rPr>
                <w:rFonts w:ascii="Times New Roman" w:hAnsi="Times New Roman" w:cs="Times New Roman"/>
                <w:sz w:val="18"/>
                <w:szCs w:val="18"/>
              </w:rPr>
            </w:pPr>
            <w:r>
              <w:rPr>
                <w:rFonts w:ascii="Times New Roman" w:hAnsi="Times New Roman" w:cs="Times New Roman"/>
                <w:sz w:val="18"/>
                <w:szCs w:val="18"/>
              </w:rPr>
              <w:t>2</w:t>
            </w:r>
          </w:p>
        </w:tc>
        <w:tc>
          <w:tcPr>
            <w:tcW w:w="699" w:type="dxa"/>
            <w:tcBorders>
              <w:top w:val="single" w:color="auto" w:sz="6" w:space="0"/>
              <w:left w:val="single" w:color="auto" w:sz="6" w:space="0"/>
              <w:bottom w:val="single" w:color="auto" w:sz="6" w:space="0"/>
              <w:right w:val="single" w:color="auto" w:sz="6" w:space="0"/>
            </w:tcBorders>
            <w:shd w:val="clear" w:color="auto" w:fill="FFFFFF" w:themeFill="background1"/>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第一学年秋季学期</w:t>
            </w:r>
          </w:p>
        </w:tc>
        <w:tc>
          <w:tcPr>
            <w:tcW w:w="831" w:type="dxa"/>
            <w:tcBorders>
              <w:top w:val="single" w:color="auto" w:sz="6" w:space="0"/>
              <w:left w:val="single" w:color="auto" w:sz="6" w:space="0"/>
              <w:bottom w:val="single" w:color="auto" w:sz="6" w:space="0"/>
              <w:right w:val="single" w:color="auto" w:sz="4" w:space="0"/>
            </w:tcBorders>
            <w:shd w:val="clear" w:color="auto" w:fill="FFFFFF" w:themeFill="background1"/>
          </w:tcPr>
          <w:p>
            <w:pPr>
              <w:jc w:val="center"/>
              <w:rPr>
                <w:rFonts w:ascii="Times New Roman" w:hAnsi="Times New Roman" w:cs="Times New Roman"/>
                <w:sz w:val="18"/>
                <w:szCs w:val="18"/>
              </w:rPr>
            </w:pPr>
            <w:r>
              <w:rPr>
                <w:rFonts w:ascii="Times New Roman" w:hAnsi="Times New Roman" w:cs="Times New Roman"/>
                <w:sz w:val="18"/>
                <w:szCs w:val="18"/>
              </w:rPr>
              <w:t>城市与区域科学学院区域经济学选修</w:t>
            </w:r>
          </w:p>
        </w:tc>
      </w:tr>
      <w:tr>
        <w:tblPrEx>
          <w:tblCellMar>
            <w:top w:w="0" w:type="dxa"/>
            <w:left w:w="108" w:type="dxa"/>
            <w:bottom w:w="0" w:type="dxa"/>
            <w:right w:w="108" w:type="dxa"/>
          </w:tblCellMar>
        </w:tblPrEx>
        <w:trPr>
          <w:jc w:val="center"/>
        </w:trPr>
        <w:tc>
          <w:tcPr>
            <w:tcW w:w="838" w:type="dxa"/>
            <w:vMerge w:val="continue"/>
            <w:tcBorders>
              <w:left w:val="single" w:color="auto" w:sz="4" w:space="0"/>
              <w:right w:val="single" w:color="auto" w:sz="4" w:space="0"/>
            </w:tcBorders>
            <w:vAlign w:val="center"/>
          </w:tcPr>
          <w:p>
            <w:pPr>
              <w:jc w:val="center"/>
              <w:rPr>
                <w:rFonts w:ascii="Times New Roman" w:hAnsi="Times New Roman" w:cs="Times New Roman"/>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Times New Roman" w:hAnsi="Times New Roman" w:cs="Times New Roman"/>
                <w:sz w:val="18"/>
                <w:szCs w:val="18"/>
              </w:rPr>
            </w:pPr>
            <w:r>
              <w:rPr>
                <w:rFonts w:ascii="Times New Roman" w:hAnsi="Times New Roman" w:cs="Times New Roman"/>
                <w:sz w:val="18"/>
                <w:szCs w:val="18"/>
              </w:rPr>
              <w:t>AECO3311102001</w:t>
            </w:r>
          </w:p>
        </w:tc>
        <w:tc>
          <w:tcPr>
            <w:tcW w:w="420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Style w:val="40"/>
                <w:rFonts w:ascii="Times New Roman" w:hAnsi="Times New Roman" w:cs="Times New Roman"/>
                <w:sz w:val="18"/>
                <w:szCs w:val="18"/>
              </w:rPr>
            </w:pPr>
            <w:r>
              <w:rPr>
                <w:rStyle w:val="40"/>
                <w:rFonts w:ascii="Times New Roman" w:hAnsi="Times New Roman" w:cs="Times New Roman"/>
                <w:sz w:val="18"/>
                <w:szCs w:val="18"/>
                <w:lang w:val="zh-TW" w:eastAsia="zh-TW"/>
              </w:rPr>
              <w:t>环境与能源经济学</w:t>
            </w:r>
          </w:p>
          <w:p>
            <w:pPr>
              <w:rPr>
                <w:rStyle w:val="40"/>
                <w:rFonts w:ascii="Times New Roman" w:hAnsi="Times New Roman" w:cs="Times New Roman"/>
                <w:sz w:val="18"/>
                <w:szCs w:val="18"/>
                <w:lang w:val="zh-TW" w:eastAsia="zh-TW"/>
              </w:rPr>
            </w:pPr>
            <w:r>
              <w:rPr>
                <w:rStyle w:val="40"/>
                <w:rFonts w:ascii="Times New Roman" w:hAnsi="Times New Roman" w:cs="Times New Roman"/>
                <w:sz w:val="18"/>
                <w:szCs w:val="18"/>
              </w:rPr>
              <w:t>Environmental and Energy Economics</w:t>
            </w:r>
          </w:p>
        </w:tc>
        <w:tc>
          <w:tcPr>
            <w:tcW w:w="659" w:type="dxa"/>
            <w:tcBorders>
              <w:top w:val="single" w:color="auto" w:sz="6" w:space="0"/>
              <w:left w:val="single" w:color="auto" w:sz="4" w:space="0"/>
              <w:bottom w:val="single" w:color="auto" w:sz="6" w:space="0"/>
              <w:right w:val="single" w:color="auto" w:sz="6" w:space="0"/>
            </w:tcBorders>
            <w:shd w:val="clear" w:color="auto" w:fill="FFFFFF" w:themeFill="background1"/>
            <w:vAlign w:val="center"/>
          </w:tcPr>
          <w:p>
            <w:pPr>
              <w:jc w:val="center"/>
              <w:rPr>
                <w:rFonts w:ascii="Times New Roman" w:hAnsi="Times New Roman" w:cs="Times New Roman"/>
                <w:sz w:val="18"/>
                <w:szCs w:val="18"/>
              </w:rPr>
            </w:pPr>
            <w:r>
              <w:rPr>
                <w:rFonts w:ascii="Times New Roman" w:hAnsi="Times New Roman" w:cs="Times New Roman"/>
                <w:sz w:val="18"/>
                <w:szCs w:val="18"/>
              </w:rPr>
              <w:t>2</w:t>
            </w:r>
          </w:p>
        </w:tc>
        <w:tc>
          <w:tcPr>
            <w:tcW w:w="699" w:type="dxa"/>
            <w:tcBorders>
              <w:top w:val="single" w:color="auto" w:sz="6" w:space="0"/>
              <w:left w:val="single" w:color="auto" w:sz="6" w:space="0"/>
              <w:bottom w:val="single" w:color="auto" w:sz="6" w:space="0"/>
              <w:right w:val="single" w:color="auto" w:sz="6" w:space="0"/>
            </w:tcBorders>
            <w:shd w:val="clear" w:color="auto" w:fill="FFFFFF" w:themeFill="background1"/>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第一学年秋季学期</w:t>
            </w:r>
          </w:p>
        </w:tc>
        <w:tc>
          <w:tcPr>
            <w:tcW w:w="831" w:type="dxa"/>
            <w:tcBorders>
              <w:top w:val="single" w:color="auto" w:sz="6" w:space="0"/>
              <w:left w:val="single" w:color="auto" w:sz="6" w:space="0"/>
              <w:bottom w:val="single" w:color="auto" w:sz="6" w:space="0"/>
              <w:right w:val="single" w:color="auto" w:sz="4" w:space="0"/>
            </w:tcBorders>
            <w:shd w:val="clear" w:color="auto" w:fill="FFFFFF" w:themeFill="background1"/>
          </w:tcPr>
          <w:p>
            <w:pPr>
              <w:jc w:val="center"/>
              <w:rPr>
                <w:rFonts w:ascii="Times New Roman" w:hAnsi="Times New Roman" w:cs="Times New Roman"/>
                <w:sz w:val="18"/>
                <w:szCs w:val="18"/>
              </w:rPr>
            </w:pPr>
            <w:r>
              <w:rPr>
                <w:rFonts w:ascii="Times New Roman" w:hAnsi="Times New Roman" w:cs="Times New Roman"/>
                <w:sz w:val="18"/>
                <w:szCs w:val="18"/>
              </w:rPr>
              <w:t>城市与区域科学学院区域经济学选修</w:t>
            </w:r>
          </w:p>
        </w:tc>
      </w:tr>
      <w:tr>
        <w:tblPrEx>
          <w:tblCellMar>
            <w:top w:w="0" w:type="dxa"/>
            <w:left w:w="108" w:type="dxa"/>
            <w:bottom w:w="0" w:type="dxa"/>
            <w:right w:w="108" w:type="dxa"/>
          </w:tblCellMar>
        </w:tblPrEx>
        <w:trPr>
          <w:jc w:val="center"/>
        </w:trPr>
        <w:tc>
          <w:tcPr>
            <w:tcW w:w="838" w:type="dxa"/>
            <w:vMerge w:val="continue"/>
            <w:tcBorders>
              <w:left w:val="single" w:color="auto" w:sz="4" w:space="0"/>
              <w:right w:val="single" w:color="auto" w:sz="4" w:space="0"/>
            </w:tcBorders>
            <w:vAlign w:val="center"/>
          </w:tcPr>
          <w:p>
            <w:pPr>
              <w:jc w:val="center"/>
              <w:rPr>
                <w:rFonts w:ascii="Times New Roman" w:hAnsi="Times New Roman" w:cs="Times New Roman"/>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Times New Roman" w:hAnsi="Times New Roman" w:cs="Times New Roman"/>
                <w:sz w:val="18"/>
                <w:szCs w:val="18"/>
              </w:rPr>
            </w:pPr>
            <w:r>
              <w:rPr>
                <w:rFonts w:ascii="Times New Roman" w:hAnsi="Times New Roman" w:cs="Times New Roman"/>
                <w:sz w:val="18"/>
                <w:szCs w:val="18"/>
              </w:rPr>
              <w:t>AECO3311102005</w:t>
            </w:r>
          </w:p>
        </w:tc>
        <w:tc>
          <w:tcPr>
            <w:tcW w:w="420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Style w:val="40"/>
                <w:rFonts w:ascii="Times New Roman" w:hAnsi="Times New Roman" w:cs="Times New Roman"/>
                <w:sz w:val="18"/>
                <w:szCs w:val="18"/>
              </w:rPr>
            </w:pPr>
            <w:r>
              <w:rPr>
                <w:rStyle w:val="40"/>
                <w:rFonts w:ascii="Times New Roman" w:hAnsi="Times New Roman" w:cs="Times New Roman"/>
                <w:sz w:val="18"/>
                <w:szCs w:val="18"/>
                <w:lang w:val="zh-TW" w:eastAsia="zh-TW"/>
              </w:rPr>
              <w:t>产业管制经济学</w:t>
            </w:r>
          </w:p>
          <w:p>
            <w:pPr>
              <w:rPr>
                <w:rStyle w:val="40"/>
                <w:rFonts w:ascii="Times New Roman" w:hAnsi="Times New Roman" w:cs="Times New Roman"/>
                <w:sz w:val="18"/>
                <w:szCs w:val="18"/>
                <w:lang w:val="zh-TW" w:eastAsia="zh-TW"/>
              </w:rPr>
            </w:pPr>
            <w:r>
              <w:rPr>
                <w:rStyle w:val="40"/>
                <w:rFonts w:ascii="Times New Roman" w:hAnsi="Times New Roman" w:cs="Times New Roman"/>
                <w:sz w:val="18"/>
                <w:szCs w:val="18"/>
              </w:rPr>
              <w:t>Industry Regulation Economics</w:t>
            </w:r>
          </w:p>
        </w:tc>
        <w:tc>
          <w:tcPr>
            <w:tcW w:w="659" w:type="dxa"/>
            <w:tcBorders>
              <w:top w:val="single" w:color="auto" w:sz="6" w:space="0"/>
              <w:left w:val="single" w:color="auto" w:sz="4" w:space="0"/>
              <w:bottom w:val="single" w:color="auto" w:sz="6" w:space="0"/>
              <w:right w:val="single" w:color="auto" w:sz="6" w:space="0"/>
            </w:tcBorders>
            <w:shd w:val="clear" w:color="auto" w:fill="FFFFFF" w:themeFill="background1"/>
            <w:vAlign w:val="center"/>
          </w:tcPr>
          <w:p>
            <w:pPr>
              <w:jc w:val="center"/>
              <w:rPr>
                <w:rFonts w:ascii="Times New Roman" w:hAnsi="Times New Roman" w:cs="Times New Roman"/>
                <w:sz w:val="18"/>
                <w:szCs w:val="18"/>
              </w:rPr>
            </w:pPr>
            <w:r>
              <w:rPr>
                <w:rFonts w:ascii="Times New Roman" w:hAnsi="Times New Roman" w:cs="Times New Roman"/>
                <w:sz w:val="18"/>
                <w:szCs w:val="18"/>
              </w:rPr>
              <w:t>2</w:t>
            </w:r>
          </w:p>
        </w:tc>
        <w:tc>
          <w:tcPr>
            <w:tcW w:w="699" w:type="dxa"/>
            <w:tcBorders>
              <w:top w:val="single" w:color="auto" w:sz="6" w:space="0"/>
              <w:left w:val="single" w:color="auto" w:sz="6" w:space="0"/>
              <w:bottom w:val="single" w:color="auto" w:sz="6" w:space="0"/>
              <w:right w:val="single" w:color="auto" w:sz="6" w:space="0"/>
            </w:tcBorders>
            <w:shd w:val="clear" w:color="auto" w:fill="FFFFFF" w:themeFill="background1"/>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第一学年秋季学期</w:t>
            </w:r>
          </w:p>
        </w:tc>
        <w:tc>
          <w:tcPr>
            <w:tcW w:w="831" w:type="dxa"/>
            <w:tcBorders>
              <w:top w:val="single" w:color="auto" w:sz="6" w:space="0"/>
              <w:left w:val="single" w:color="auto" w:sz="6" w:space="0"/>
              <w:bottom w:val="single" w:color="auto" w:sz="6" w:space="0"/>
              <w:right w:val="single" w:color="auto" w:sz="4" w:space="0"/>
            </w:tcBorders>
            <w:shd w:val="clear" w:color="auto" w:fill="FFFFFF" w:themeFill="background1"/>
          </w:tcPr>
          <w:p>
            <w:pPr>
              <w:jc w:val="center"/>
              <w:rPr>
                <w:rFonts w:ascii="Times New Roman" w:hAnsi="Times New Roman" w:cs="Times New Roman"/>
                <w:sz w:val="18"/>
                <w:szCs w:val="18"/>
              </w:rPr>
            </w:pPr>
            <w:r>
              <w:rPr>
                <w:rFonts w:ascii="Times New Roman" w:hAnsi="Times New Roman" w:cs="Times New Roman"/>
                <w:sz w:val="18"/>
                <w:szCs w:val="18"/>
              </w:rPr>
              <w:t>城市与区域科学学院区域经济学选修</w:t>
            </w:r>
          </w:p>
        </w:tc>
      </w:tr>
      <w:tr>
        <w:tblPrEx>
          <w:tblCellMar>
            <w:top w:w="0" w:type="dxa"/>
            <w:left w:w="108" w:type="dxa"/>
            <w:bottom w:w="0" w:type="dxa"/>
            <w:right w:w="108" w:type="dxa"/>
          </w:tblCellMar>
        </w:tblPrEx>
        <w:trPr>
          <w:jc w:val="center"/>
        </w:trPr>
        <w:tc>
          <w:tcPr>
            <w:tcW w:w="838" w:type="dxa"/>
            <w:vMerge w:val="continue"/>
            <w:tcBorders>
              <w:left w:val="single" w:color="auto" w:sz="4" w:space="0"/>
              <w:bottom w:val="single" w:color="auto" w:sz="4" w:space="0"/>
              <w:right w:val="single" w:color="auto" w:sz="6" w:space="0"/>
            </w:tcBorders>
            <w:vAlign w:val="center"/>
          </w:tcPr>
          <w:p>
            <w:pPr>
              <w:jc w:val="center"/>
              <w:rPr>
                <w:rFonts w:ascii="Times New Roman" w:hAnsi="Times New Roman" w:cs="Times New Roman"/>
                <w:b/>
                <w:szCs w:val="21"/>
              </w:rPr>
            </w:pPr>
          </w:p>
        </w:tc>
        <w:tc>
          <w:tcPr>
            <w:tcW w:w="8094" w:type="dxa"/>
            <w:gridSpan w:val="5"/>
            <w:tcBorders>
              <w:top w:val="single" w:color="auto" w:sz="6" w:space="0"/>
              <w:left w:val="single" w:color="auto" w:sz="6" w:space="0"/>
              <w:bottom w:val="single" w:color="auto" w:sz="6" w:space="0"/>
              <w:right w:val="single" w:color="auto" w:sz="4" w:space="0"/>
            </w:tcBorders>
          </w:tcPr>
          <w:p>
            <w:pPr>
              <w:jc w:val="center"/>
              <w:rPr>
                <w:rFonts w:ascii="Times New Roman" w:hAnsi="Times New Roman" w:cs="Times New Roman"/>
                <w:sz w:val="18"/>
                <w:szCs w:val="18"/>
              </w:rPr>
            </w:pPr>
            <w:r>
              <w:rPr>
                <w:rFonts w:ascii="Times New Roman" w:hAnsi="Times New Roman" w:cs="Times New Roman"/>
                <w:b/>
                <w:sz w:val="18"/>
                <w:szCs w:val="18"/>
              </w:rPr>
              <w:t>学分要求：</w:t>
            </w:r>
            <w:r>
              <w:rPr>
                <w:rFonts w:ascii="Times New Roman" w:hAnsi="Times New Roman" w:cs="Times New Roman"/>
                <w:sz w:val="18"/>
                <w:szCs w:val="18"/>
              </w:rPr>
              <w:t>≥4学分</w:t>
            </w:r>
          </w:p>
        </w:tc>
      </w:tr>
      <w:tr>
        <w:tblPrEx>
          <w:tblCellMar>
            <w:top w:w="0" w:type="dxa"/>
            <w:left w:w="108" w:type="dxa"/>
            <w:bottom w:w="0" w:type="dxa"/>
            <w:right w:w="108" w:type="dxa"/>
          </w:tblCellMar>
        </w:tblPrEx>
        <w:trPr>
          <w:trHeight w:val="412" w:hRule="atLeast"/>
          <w:jc w:val="center"/>
        </w:trPr>
        <w:tc>
          <w:tcPr>
            <w:tcW w:w="838" w:type="dxa"/>
            <w:vMerge w:val="restart"/>
            <w:tcBorders>
              <w:top w:val="single" w:color="auto" w:sz="4" w:space="0"/>
              <w:left w:val="single" w:color="auto" w:sz="4" w:space="0"/>
              <w:right w:val="single" w:color="auto" w:sz="6" w:space="0"/>
            </w:tcBorders>
            <w:vAlign w:val="center"/>
          </w:tcPr>
          <w:p>
            <w:pPr>
              <w:jc w:val="center"/>
              <w:rPr>
                <w:rFonts w:ascii="Times New Roman" w:hAnsi="Times New Roman" w:cs="Times New Roman"/>
                <w:b/>
                <w:szCs w:val="21"/>
              </w:rPr>
            </w:pPr>
            <w:r>
              <w:rPr>
                <w:rFonts w:ascii="Times New Roman" w:hAnsi="Times New Roman" w:cs="Times New Roman"/>
                <w:b/>
                <w:szCs w:val="21"/>
              </w:rPr>
              <w:t>跨一级学科课程</w:t>
            </w:r>
          </w:p>
        </w:tc>
        <w:tc>
          <w:tcPr>
            <w:tcW w:w="1701" w:type="dxa"/>
            <w:tcBorders>
              <w:top w:val="single" w:color="auto" w:sz="6" w:space="0"/>
              <w:left w:val="single" w:color="auto" w:sz="6" w:space="0"/>
              <w:bottom w:val="single" w:color="auto" w:sz="6" w:space="0"/>
              <w:right w:val="single" w:color="auto" w:sz="6" w:space="0"/>
            </w:tcBorders>
          </w:tcPr>
          <w:p>
            <w:pPr>
              <w:rPr>
                <w:rFonts w:ascii="Times New Roman" w:hAnsi="Times New Roman" w:cs="Times New Roman"/>
                <w:sz w:val="18"/>
                <w:szCs w:val="18"/>
              </w:rPr>
            </w:pPr>
          </w:p>
        </w:tc>
        <w:tc>
          <w:tcPr>
            <w:tcW w:w="4204" w:type="dxa"/>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cs="Times New Roman"/>
                <w:sz w:val="18"/>
                <w:szCs w:val="18"/>
              </w:rPr>
            </w:pPr>
            <w:r>
              <w:rPr>
                <w:rFonts w:ascii="Times New Roman" w:hAnsi="Times New Roman" w:cs="Times New Roman"/>
                <w:sz w:val="18"/>
                <w:szCs w:val="18"/>
              </w:rPr>
              <w:t>跨一级学科选修课1</w:t>
            </w:r>
          </w:p>
        </w:tc>
        <w:tc>
          <w:tcPr>
            <w:tcW w:w="659"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sz w:val="18"/>
                <w:szCs w:val="18"/>
              </w:rPr>
            </w:pPr>
          </w:p>
        </w:tc>
        <w:tc>
          <w:tcPr>
            <w:tcW w:w="699"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sz w:val="18"/>
                <w:szCs w:val="18"/>
              </w:rPr>
            </w:pPr>
          </w:p>
        </w:tc>
        <w:tc>
          <w:tcPr>
            <w:tcW w:w="831" w:type="dxa"/>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必选</w:t>
            </w:r>
          </w:p>
        </w:tc>
      </w:tr>
      <w:tr>
        <w:tblPrEx>
          <w:tblCellMar>
            <w:top w:w="0" w:type="dxa"/>
            <w:left w:w="108" w:type="dxa"/>
            <w:bottom w:w="0" w:type="dxa"/>
            <w:right w:w="108" w:type="dxa"/>
          </w:tblCellMar>
        </w:tblPrEx>
        <w:trPr>
          <w:jc w:val="center"/>
        </w:trPr>
        <w:tc>
          <w:tcPr>
            <w:tcW w:w="838" w:type="dxa"/>
            <w:vMerge w:val="continue"/>
            <w:tcBorders>
              <w:left w:val="single" w:color="auto" w:sz="4" w:space="0"/>
              <w:bottom w:val="single" w:color="auto" w:sz="4" w:space="0"/>
              <w:right w:val="single" w:color="auto" w:sz="6" w:space="0"/>
            </w:tcBorders>
            <w:vAlign w:val="center"/>
          </w:tcPr>
          <w:p>
            <w:pPr>
              <w:jc w:val="center"/>
              <w:rPr>
                <w:rFonts w:ascii="Times New Roman" w:hAnsi="Times New Roman" w:cs="Times New Roman"/>
                <w:b/>
                <w:szCs w:val="21"/>
              </w:rPr>
            </w:pPr>
          </w:p>
        </w:tc>
        <w:tc>
          <w:tcPr>
            <w:tcW w:w="8094" w:type="dxa"/>
            <w:gridSpan w:val="5"/>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b/>
                <w:sz w:val="18"/>
                <w:szCs w:val="18"/>
              </w:rPr>
              <w:t>学分要求：</w:t>
            </w:r>
            <w:r>
              <w:rPr>
                <w:rFonts w:ascii="Times New Roman" w:hAnsi="Times New Roman" w:cs="Times New Roman"/>
                <w:sz w:val="18"/>
                <w:szCs w:val="18"/>
              </w:rPr>
              <w:t>≥2学分</w:t>
            </w:r>
          </w:p>
        </w:tc>
      </w:tr>
      <w:tr>
        <w:tblPrEx>
          <w:tblCellMar>
            <w:top w:w="0" w:type="dxa"/>
            <w:left w:w="108" w:type="dxa"/>
            <w:bottom w:w="0" w:type="dxa"/>
            <w:right w:w="108" w:type="dxa"/>
          </w:tblCellMar>
        </w:tblPrEx>
        <w:trPr>
          <w:jc w:val="center"/>
        </w:trPr>
        <w:tc>
          <w:tcPr>
            <w:tcW w:w="838" w:type="dxa"/>
            <w:tcBorders>
              <w:left w:val="single" w:color="auto" w:sz="4" w:space="0"/>
              <w:bottom w:val="single" w:color="auto" w:sz="4" w:space="0"/>
              <w:right w:val="single" w:color="auto" w:sz="6" w:space="0"/>
            </w:tcBorders>
            <w:vAlign w:val="center"/>
          </w:tcPr>
          <w:p>
            <w:pPr>
              <w:jc w:val="center"/>
              <w:rPr>
                <w:rFonts w:ascii="Times New Roman" w:hAnsi="Times New Roman" w:cs="Times New Roman"/>
                <w:b/>
                <w:szCs w:val="21"/>
              </w:rPr>
            </w:pPr>
            <w:r>
              <w:rPr>
                <w:rFonts w:ascii="Times New Roman" w:hAnsi="Times New Roman" w:cs="Times New Roman"/>
                <w:b/>
                <w:szCs w:val="21"/>
              </w:rPr>
              <w:t>非学位课程</w:t>
            </w:r>
          </w:p>
        </w:tc>
        <w:tc>
          <w:tcPr>
            <w:tcW w:w="8094" w:type="dxa"/>
            <w:gridSpan w:val="5"/>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color w:val="000000"/>
                <w:kern w:val="0"/>
                <w:sz w:val="18"/>
                <w:szCs w:val="18"/>
              </w:rPr>
              <w:t>修读培养方案要求以外的课程，如补修本专业本科课程等，不计入培养方案总学分。</w:t>
            </w:r>
          </w:p>
        </w:tc>
      </w:tr>
      <w:tr>
        <w:tblPrEx>
          <w:tblCellMar>
            <w:top w:w="0" w:type="dxa"/>
            <w:left w:w="108" w:type="dxa"/>
            <w:bottom w:w="0" w:type="dxa"/>
            <w:right w:w="108" w:type="dxa"/>
          </w:tblCellMar>
        </w:tblPrEx>
        <w:trPr>
          <w:jc w:val="center"/>
        </w:trPr>
        <w:tc>
          <w:tcPr>
            <w:tcW w:w="838" w:type="dxa"/>
            <w:tcBorders>
              <w:left w:val="single" w:color="auto" w:sz="4" w:space="0"/>
              <w:bottom w:val="single" w:color="auto" w:sz="4" w:space="0"/>
              <w:right w:val="single" w:color="auto" w:sz="6" w:space="0"/>
            </w:tcBorders>
            <w:vAlign w:val="center"/>
          </w:tcPr>
          <w:p>
            <w:pPr>
              <w:jc w:val="center"/>
              <w:rPr>
                <w:rFonts w:ascii="Times New Roman" w:hAnsi="Times New Roman" w:cs="Times New Roman"/>
                <w:b/>
                <w:szCs w:val="21"/>
              </w:rPr>
            </w:pPr>
            <w:r>
              <w:rPr>
                <w:rFonts w:ascii="Times New Roman" w:hAnsi="Times New Roman" w:cs="Times New Roman"/>
                <w:b/>
                <w:szCs w:val="21"/>
              </w:rPr>
              <w:t>总学分</w:t>
            </w:r>
          </w:p>
        </w:tc>
        <w:tc>
          <w:tcPr>
            <w:tcW w:w="8094" w:type="dxa"/>
            <w:gridSpan w:val="5"/>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cs="Times New Roman"/>
                <w:color w:val="000000"/>
                <w:kern w:val="0"/>
                <w:sz w:val="18"/>
                <w:szCs w:val="18"/>
              </w:rPr>
            </w:pPr>
            <w:r>
              <w:rPr>
                <w:rFonts w:ascii="Times New Roman" w:hAnsi="Times New Roman" w:cs="Times New Roman"/>
                <w:sz w:val="18"/>
                <w:szCs w:val="18"/>
              </w:rPr>
              <w:t>≥__</w:t>
            </w:r>
            <w:r>
              <w:rPr>
                <w:rFonts w:hint="eastAsia" w:ascii="Times New Roman" w:hAnsi="Times New Roman" w:cs="Times New Roman"/>
                <w:sz w:val="18"/>
                <w:szCs w:val="18"/>
              </w:rPr>
              <w:t>29</w:t>
            </w:r>
            <w:r>
              <w:rPr>
                <w:rFonts w:ascii="Times New Roman" w:hAnsi="Times New Roman" w:cs="Times New Roman"/>
                <w:sz w:val="18"/>
                <w:szCs w:val="18"/>
              </w:rPr>
              <w:t>___   学分</w:t>
            </w:r>
          </w:p>
        </w:tc>
      </w:tr>
    </w:tbl>
    <w:p>
      <w:pPr>
        <w:spacing w:before="156" w:beforeLines="50" w:after="156" w:afterLines="50"/>
        <w:ind w:left="420"/>
        <w:rPr>
          <w:rFonts w:ascii="Times New Roman" w:hAnsi="Times New Roman" w:eastAsia="黑体" w:cs="Times New Roman"/>
          <w:sz w:val="24"/>
          <w:szCs w:val="24"/>
        </w:rPr>
      </w:pPr>
    </w:p>
    <w:p>
      <w:pPr>
        <w:spacing w:before="156" w:beforeLines="50" w:after="156" w:afterLines="50"/>
        <w:ind w:left="420"/>
        <w:rPr>
          <w:rFonts w:ascii="Times New Roman" w:hAnsi="Times New Roman" w:eastAsia="黑体" w:cs="Times New Roman"/>
          <w:sz w:val="24"/>
          <w:szCs w:val="24"/>
        </w:rPr>
      </w:pPr>
      <w:r>
        <w:rPr>
          <w:rFonts w:ascii="Times New Roman" w:hAnsi="Times New Roman" w:eastAsia="黑体" w:cs="Times New Roman"/>
          <w:sz w:val="24"/>
          <w:szCs w:val="24"/>
        </w:rPr>
        <w:t>七、培养</w:t>
      </w:r>
      <w:r>
        <w:rPr>
          <w:rFonts w:hint="eastAsia" w:ascii="Times New Roman" w:hAnsi="Times New Roman" w:eastAsia="黑体" w:cs="Times New Roman"/>
          <w:sz w:val="24"/>
          <w:szCs w:val="24"/>
        </w:rPr>
        <w:t>环节考核</w:t>
      </w:r>
    </w:p>
    <w:p>
      <w:pPr>
        <w:ind w:firstLine="420" w:firstLineChars="200"/>
        <w:rPr>
          <w:rFonts w:ascii="Times New Roman" w:hAnsi="Times New Roman" w:eastAsia="黑体" w:cs="Times New Roman"/>
          <w:sz w:val="24"/>
          <w:szCs w:val="24"/>
        </w:rPr>
      </w:pPr>
      <w:r>
        <w:rPr>
          <w:rFonts w:ascii="Times New Roman" w:hAnsi="Times New Roman" w:cs="Times New Roman"/>
          <w:szCs w:val="21"/>
        </w:rPr>
        <w:t>硕士研究生培养环节主要包括：基本文献阅读能力考核、开题报告、实践环节和科研训练、学术活动、中期考核</w:t>
      </w:r>
      <w:r>
        <w:rPr>
          <w:rFonts w:hint="eastAsia" w:ascii="Times New Roman" w:hAnsi="Times New Roman" w:cs="Times New Roman"/>
          <w:szCs w:val="21"/>
        </w:rPr>
        <w:t>、</w:t>
      </w:r>
      <w:r>
        <w:rPr>
          <w:rFonts w:ascii="Times New Roman" w:hAnsi="Times New Roman" w:cs="Times New Roman"/>
          <w:szCs w:val="21"/>
        </w:rPr>
        <w:t>预答辩，各环节考核时间安排详见下表：</w:t>
      </w:r>
    </w:p>
    <w:tbl>
      <w:tblPr>
        <w:tblStyle w:val="14"/>
        <w:tblpPr w:leftFromText="180" w:rightFromText="180" w:vertAnchor="text" w:horzAnchor="margin" w:tblpXSpec="center" w:tblpY="227"/>
        <w:tblW w:w="98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7"/>
        <w:gridCol w:w="1013"/>
        <w:gridCol w:w="1040"/>
        <w:gridCol w:w="1234"/>
        <w:gridCol w:w="1102"/>
        <w:gridCol w:w="1770"/>
        <w:gridCol w:w="1101"/>
        <w:gridCol w:w="1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827" w:type="dxa"/>
            <w:tcBorders>
              <w:top w:val="single" w:color="4472C4" w:sz="2" w:space="0"/>
              <w:left w:val="single" w:color="4472C4" w:sz="2" w:space="0"/>
              <w:bottom w:val="single" w:color="4472C4" w:sz="2" w:space="0"/>
              <w:right w:val="single" w:color="4472C4" w:sz="2" w:space="0"/>
            </w:tcBorders>
            <w:shd w:val="clear" w:color="auto" w:fill="8EAADB" w:themeFill="accent5" w:themeFillTint="99"/>
            <w:vAlign w:val="center"/>
          </w:tcPr>
          <w:p>
            <w:pPr>
              <w:pStyle w:val="38"/>
              <w:rPr>
                <w:rFonts w:ascii="Times New Roman" w:hAnsi="Times New Roman" w:cs="Times New Roman"/>
                <w:color w:val="0C0C0C" w:themeColor="text1" w:themeTint="F2"/>
              </w:rPr>
            </w:pPr>
            <w:r>
              <w:rPr>
                <w:rFonts w:ascii="Times New Roman" w:hAnsi="Times New Roman" w:cs="Times New Roman"/>
                <w:color w:val="0C0C0C" w:themeColor="text1" w:themeTint="F2"/>
              </w:rPr>
              <w:t>学期</w:t>
            </w:r>
          </w:p>
        </w:tc>
        <w:tc>
          <w:tcPr>
            <w:tcW w:w="1013" w:type="dxa"/>
            <w:tcBorders>
              <w:top w:val="single" w:color="4472C4" w:sz="2" w:space="0"/>
              <w:left w:val="single" w:color="4472C4" w:sz="2" w:space="0"/>
              <w:bottom w:val="single" w:color="4472C4" w:sz="2" w:space="0"/>
              <w:right w:val="single" w:color="4472C4" w:sz="2" w:space="0"/>
            </w:tcBorders>
            <w:shd w:val="clear" w:color="auto" w:fill="8EAADB" w:themeFill="accent5" w:themeFillTint="99"/>
            <w:vAlign w:val="center"/>
          </w:tcPr>
          <w:p>
            <w:pPr>
              <w:pStyle w:val="38"/>
              <w:jc w:val="center"/>
              <w:rPr>
                <w:rFonts w:ascii="Times New Roman" w:hAnsi="Times New Roman" w:cs="Times New Roman"/>
                <w:color w:val="0C0C0C" w:themeColor="text1" w:themeTint="F2"/>
              </w:rPr>
            </w:pPr>
            <w:r>
              <w:rPr>
                <w:rFonts w:ascii="Times New Roman" w:hAnsi="Times New Roman" w:cs="Times New Roman"/>
                <w:color w:val="0C0C0C" w:themeColor="text1" w:themeTint="F2"/>
              </w:rPr>
              <w:t>零</w:t>
            </w:r>
          </w:p>
        </w:tc>
        <w:tc>
          <w:tcPr>
            <w:tcW w:w="1040" w:type="dxa"/>
            <w:tcBorders>
              <w:top w:val="single" w:color="4472C4" w:sz="2" w:space="0"/>
              <w:left w:val="single" w:color="4472C4" w:sz="2" w:space="0"/>
              <w:bottom w:val="single" w:color="4472C4" w:sz="2" w:space="0"/>
              <w:right w:val="single" w:color="4472C4" w:sz="2" w:space="0"/>
            </w:tcBorders>
            <w:shd w:val="clear" w:color="auto" w:fill="8EAADB" w:themeFill="accent5" w:themeFillTint="99"/>
          </w:tcPr>
          <w:p>
            <w:pPr>
              <w:pStyle w:val="38"/>
              <w:jc w:val="center"/>
              <w:rPr>
                <w:rFonts w:ascii="Times New Roman" w:hAnsi="Times New Roman" w:cs="Times New Roman"/>
                <w:color w:val="0C0C0C" w:themeColor="text1" w:themeTint="F2"/>
              </w:rPr>
            </w:pPr>
          </w:p>
          <w:p>
            <w:pPr>
              <w:pStyle w:val="38"/>
              <w:jc w:val="center"/>
              <w:rPr>
                <w:rFonts w:ascii="Times New Roman" w:hAnsi="Times New Roman" w:cs="Times New Roman"/>
                <w:color w:val="0C0C0C" w:themeColor="text1" w:themeTint="F2"/>
              </w:rPr>
            </w:pPr>
            <w:r>
              <w:rPr>
                <w:rFonts w:ascii="Times New Roman" w:hAnsi="Times New Roman" w:cs="Times New Roman"/>
                <w:color w:val="0C0C0C" w:themeColor="text1" w:themeTint="F2"/>
              </w:rPr>
              <w:t>一</w:t>
            </w:r>
          </w:p>
        </w:tc>
        <w:tc>
          <w:tcPr>
            <w:tcW w:w="1234" w:type="dxa"/>
            <w:tcBorders>
              <w:top w:val="single" w:color="4472C4" w:sz="2" w:space="0"/>
              <w:left w:val="single" w:color="4472C4" w:sz="2" w:space="0"/>
              <w:bottom w:val="single" w:color="4472C4" w:sz="2" w:space="0"/>
              <w:right w:val="single" w:color="4472C4" w:sz="2" w:space="0"/>
            </w:tcBorders>
            <w:shd w:val="clear" w:color="auto" w:fill="8EAADB" w:themeFill="accent5" w:themeFillTint="99"/>
            <w:vAlign w:val="center"/>
          </w:tcPr>
          <w:p>
            <w:pPr>
              <w:pStyle w:val="38"/>
              <w:jc w:val="center"/>
              <w:rPr>
                <w:rFonts w:ascii="Times New Roman" w:hAnsi="Times New Roman" w:cs="Times New Roman"/>
                <w:color w:val="0C0C0C" w:themeColor="text1" w:themeTint="F2"/>
              </w:rPr>
            </w:pPr>
            <w:r>
              <w:rPr>
                <w:rFonts w:ascii="Times New Roman" w:hAnsi="Times New Roman" w:cs="Times New Roman"/>
                <w:color w:val="0C0C0C" w:themeColor="text1" w:themeTint="F2"/>
              </w:rPr>
              <w:t>二</w:t>
            </w:r>
          </w:p>
        </w:tc>
        <w:tc>
          <w:tcPr>
            <w:tcW w:w="1102" w:type="dxa"/>
            <w:tcBorders>
              <w:top w:val="single" w:color="4472C4" w:sz="2" w:space="0"/>
              <w:left w:val="single" w:color="4472C4" w:sz="2" w:space="0"/>
              <w:bottom w:val="single" w:color="4472C4" w:sz="2" w:space="0"/>
              <w:right w:val="single" w:color="4472C4" w:sz="2" w:space="0"/>
            </w:tcBorders>
            <w:shd w:val="clear" w:color="auto" w:fill="8EAADB" w:themeFill="accent5" w:themeFillTint="99"/>
            <w:vAlign w:val="center"/>
          </w:tcPr>
          <w:p>
            <w:pPr>
              <w:pStyle w:val="38"/>
              <w:jc w:val="center"/>
              <w:rPr>
                <w:rFonts w:ascii="Times New Roman" w:hAnsi="Times New Roman" w:cs="Times New Roman"/>
                <w:color w:val="0C0C0C" w:themeColor="text1" w:themeTint="F2"/>
              </w:rPr>
            </w:pPr>
            <w:r>
              <w:rPr>
                <w:rFonts w:ascii="Times New Roman" w:hAnsi="Times New Roman" w:cs="Times New Roman"/>
                <w:color w:val="0C0C0C" w:themeColor="text1" w:themeTint="F2"/>
              </w:rPr>
              <w:t>三</w:t>
            </w:r>
          </w:p>
        </w:tc>
        <w:tc>
          <w:tcPr>
            <w:tcW w:w="1770" w:type="dxa"/>
            <w:tcBorders>
              <w:top w:val="single" w:color="4472C4" w:sz="2" w:space="0"/>
              <w:left w:val="single" w:color="4472C4" w:sz="2" w:space="0"/>
              <w:bottom w:val="single" w:color="4472C4" w:sz="2" w:space="0"/>
              <w:right w:val="single" w:color="4472C4" w:sz="2" w:space="0"/>
            </w:tcBorders>
            <w:shd w:val="clear" w:color="auto" w:fill="8EAADB" w:themeFill="accent5" w:themeFillTint="99"/>
            <w:vAlign w:val="center"/>
          </w:tcPr>
          <w:p>
            <w:pPr>
              <w:pStyle w:val="38"/>
              <w:jc w:val="center"/>
              <w:rPr>
                <w:rFonts w:ascii="Times New Roman" w:hAnsi="Times New Roman" w:cs="Times New Roman"/>
                <w:color w:val="0C0C0C" w:themeColor="text1" w:themeTint="F2"/>
              </w:rPr>
            </w:pPr>
            <w:r>
              <w:rPr>
                <w:rFonts w:ascii="Times New Roman" w:hAnsi="Times New Roman" w:cs="Times New Roman"/>
                <w:color w:val="0C0C0C" w:themeColor="text1" w:themeTint="F2"/>
              </w:rPr>
              <w:t>四</w:t>
            </w:r>
          </w:p>
        </w:tc>
        <w:tc>
          <w:tcPr>
            <w:tcW w:w="1101" w:type="dxa"/>
            <w:tcBorders>
              <w:top w:val="single" w:color="4472C4" w:sz="2" w:space="0"/>
              <w:left w:val="single" w:color="4472C4" w:sz="2" w:space="0"/>
              <w:bottom w:val="single" w:color="4472C4" w:sz="2" w:space="0"/>
              <w:right w:val="single" w:color="4472C4" w:sz="2" w:space="0"/>
            </w:tcBorders>
            <w:shd w:val="clear" w:color="auto" w:fill="8EAADB" w:themeFill="accent5" w:themeFillTint="99"/>
            <w:vAlign w:val="center"/>
          </w:tcPr>
          <w:p>
            <w:pPr>
              <w:pStyle w:val="38"/>
              <w:jc w:val="center"/>
              <w:rPr>
                <w:rFonts w:ascii="Times New Roman" w:hAnsi="Times New Roman" w:cs="Times New Roman"/>
                <w:color w:val="0C0C0C" w:themeColor="text1" w:themeTint="F2"/>
              </w:rPr>
            </w:pPr>
            <w:r>
              <w:rPr>
                <w:rFonts w:ascii="Times New Roman" w:hAnsi="Times New Roman" w:cs="Times New Roman"/>
                <w:color w:val="0C0C0C" w:themeColor="text1" w:themeTint="F2"/>
              </w:rPr>
              <w:t>五</w:t>
            </w:r>
          </w:p>
        </w:tc>
        <w:tc>
          <w:tcPr>
            <w:tcW w:w="1771" w:type="dxa"/>
            <w:tcBorders>
              <w:top w:val="single" w:color="4472C4" w:sz="2" w:space="0"/>
              <w:left w:val="single" w:color="4472C4" w:sz="2" w:space="0"/>
              <w:bottom w:val="single" w:color="4472C4" w:sz="2" w:space="0"/>
              <w:right w:val="single" w:color="4472C4" w:sz="2" w:space="0"/>
            </w:tcBorders>
            <w:shd w:val="clear" w:color="auto" w:fill="8EAADB" w:themeFill="accent5" w:themeFillTint="99"/>
            <w:vAlign w:val="center"/>
          </w:tcPr>
          <w:p>
            <w:pPr>
              <w:pStyle w:val="38"/>
              <w:jc w:val="center"/>
              <w:rPr>
                <w:rFonts w:ascii="Times New Roman" w:hAnsi="Times New Roman" w:cs="Times New Roman"/>
                <w:color w:val="0C0C0C" w:themeColor="text1" w:themeTint="F2"/>
              </w:rPr>
            </w:pPr>
            <w:r>
              <w:rPr>
                <w:rFonts w:ascii="Times New Roman" w:hAnsi="Times New Roman" w:cs="Times New Roman"/>
                <w:color w:val="0C0C0C" w:themeColor="text1" w:themeTint="F2"/>
              </w:rPr>
              <w:t>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827" w:type="dxa"/>
            <w:tcBorders>
              <w:top w:val="single" w:color="4472C4" w:sz="2" w:space="0"/>
              <w:left w:val="single" w:color="4472C4" w:sz="2" w:space="0"/>
              <w:bottom w:val="single" w:color="4472C4" w:sz="2" w:space="0"/>
              <w:right w:val="single" w:color="4472C4" w:sz="2" w:space="0"/>
            </w:tcBorders>
            <w:shd w:val="clear" w:color="auto" w:fill="FFFFFF"/>
            <w:vAlign w:val="center"/>
          </w:tcPr>
          <w:p>
            <w:pPr>
              <w:pStyle w:val="38"/>
              <w:rPr>
                <w:rFonts w:ascii="Times New Roman" w:hAnsi="Times New Roman" w:cs="Times New Roman"/>
                <w:color w:val="000000"/>
              </w:rPr>
            </w:pPr>
            <w:r>
              <w:rPr>
                <w:rFonts w:ascii="Times New Roman" w:hAnsi="Times New Roman" w:cs="Times New Roman"/>
                <w:color w:val="000000"/>
              </w:rPr>
              <w:t>硕士</w:t>
            </w:r>
          </w:p>
        </w:tc>
        <w:tc>
          <w:tcPr>
            <w:tcW w:w="1013" w:type="dxa"/>
            <w:tcBorders>
              <w:top w:val="single" w:color="4472C4" w:sz="2" w:space="0"/>
              <w:left w:val="single" w:color="4472C4" w:sz="2" w:space="0"/>
              <w:bottom w:val="single" w:color="4472C4" w:sz="2" w:space="0"/>
              <w:right w:val="single" w:color="4472C4" w:sz="2" w:space="0"/>
            </w:tcBorders>
            <w:shd w:val="clear" w:color="auto" w:fill="FFFFFF"/>
            <w:vAlign w:val="center"/>
          </w:tcPr>
          <w:p>
            <w:pPr>
              <w:pStyle w:val="38"/>
              <w:jc w:val="center"/>
              <w:rPr>
                <w:rFonts w:ascii="Times New Roman" w:hAnsi="Times New Roman" w:cs="Times New Roman"/>
                <w:color w:val="000000"/>
              </w:rPr>
            </w:pPr>
            <w:r>
              <w:rPr>
                <w:rFonts w:ascii="Times New Roman" w:hAnsi="Times New Roman" w:cs="Times New Roman"/>
                <w:color w:val="000000"/>
              </w:rPr>
              <w:t>优秀本科生修读研究生阶段课程</w:t>
            </w:r>
          </w:p>
        </w:tc>
        <w:tc>
          <w:tcPr>
            <w:tcW w:w="1040" w:type="dxa"/>
            <w:tcBorders>
              <w:top w:val="single" w:color="4472C4" w:sz="2" w:space="0"/>
              <w:left w:val="single" w:color="4472C4" w:sz="2" w:space="0"/>
              <w:bottom w:val="single" w:color="4472C4" w:sz="2" w:space="0"/>
              <w:right w:val="single" w:color="4472C4" w:sz="2" w:space="0"/>
            </w:tcBorders>
            <w:shd w:val="clear" w:color="auto" w:fill="FFFFFF"/>
            <w:vAlign w:val="center"/>
          </w:tcPr>
          <w:p>
            <w:pPr>
              <w:pStyle w:val="38"/>
              <w:jc w:val="center"/>
              <w:rPr>
                <w:rFonts w:ascii="Times New Roman" w:hAnsi="Times New Roman" w:cs="Times New Roman"/>
                <w:color w:val="000000"/>
              </w:rPr>
            </w:pPr>
          </w:p>
        </w:tc>
        <w:tc>
          <w:tcPr>
            <w:tcW w:w="1234" w:type="dxa"/>
            <w:tcBorders>
              <w:top w:val="single" w:color="4472C4" w:sz="2" w:space="0"/>
              <w:left w:val="single" w:color="4472C4" w:sz="2" w:space="0"/>
              <w:bottom w:val="single" w:color="4472C4" w:sz="2" w:space="0"/>
              <w:right w:val="single" w:color="4472C4" w:sz="2" w:space="0"/>
            </w:tcBorders>
            <w:shd w:val="clear" w:color="auto" w:fill="FFFFFF"/>
            <w:vAlign w:val="center"/>
          </w:tcPr>
          <w:p>
            <w:pPr>
              <w:pStyle w:val="38"/>
              <w:jc w:val="center"/>
              <w:rPr>
                <w:rFonts w:ascii="Times New Roman" w:hAnsi="Times New Roman" w:cs="Times New Roman"/>
                <w:color w:val="000000"/>
              </w:rPr>
            </w:pPr>
          </w:p>
        </w:tc>
        <w:tc>
          <w:tcPr>
            <w:tcW w:w="3973" w:type="dxa"/>
            <w:gridSpan w:val="3"/>
            <w:tcBorders>
              <w:top w:val="single" w:color="4472C4" w:sz="2" w:space="0"/>
              <w:left w:val="single" w:color="4472C4" w:sz="2" w:space="0"/>
              <w:bottom w:val="single" w:color="4472C4" w:sz="2" w:space="0"/>
              <w:right w:val="single" w:color="4472C4" w:sz="2" w:space="0"/>
            </w:tcBorders>
            <w:shd w:val="clear" w:color="auto" w:fill="FFFFFF"/>
            <w:vAlign w:val="center"/>
          </w:tcPr>
          <w:p>
            <w:pPr>
              <w:pStyle w:val="38"/>
              <w:jc w:val="center"/>
              <w:rPr>
                <w:rFonts w:ascii="Times New Roman" w:hAnsi="Times New Roman" w:cs="Times New Roman"/>
                <w:color w:val="000000"/>
              </w:rPr>
            </w:pPr>
            <w:r>
              <w:rPr>
                <w:rFonts w:ascii="Times New Roman" w:hAnsi="Times New Roman" w:cs="Times New Roman"/>
                <w:color w:val="000000"/>
              </w:rPr>
              <w:t>基本文献阅读能力考核</w:t>
            </w:r>
          </w:p>
          <w:p>
            <w:pPr>
              <w:pStyle w:val="38"/>
              <w:jc w:val="center"/>
              <w:rPr>
                <w:rFonts w:ascii="Times New Roman" w:hAnsi="Times New Roman" w:cs="Times New Roman"/>
                <w:color w:val="000000"/>
              </w:rPr>
            </w:pPr>
            <w:r>
              <w:rPr>
                <w:rFonts w:ascii="Times New Roman" w:hAnsi="Times New Roman" w:cs="Times New Roman"/>
                <w:color w:val="000000"/>
              </w:rPr>
              <w:t>开题报告</w:t>
            </w:r>
          </w:p>
          <w:p>
            <w:pPr>
              <w:pStyle w:val="38"/>
              <w:jc w:val="center"/>
              <w:rPr>
                <w:rFonts w:ascii="Times New Roman" w:hAnsi="Times New Roman" w:cs="Times New Roman"/>
                <w:color w:val="000000"/>
              </w:rPr>
            </w:pPr>
            <w:r>
              <w:rPr>
                <w:rFonts w:ascii="Times New Roman" w:hAnsi="Times New Roman" w:cs="Times New Roman"/>
                <w:color w:val="000000"/>
              </w:rPr>
              <w:t>学术活动</w:t>
            </w:r>
          </w:p>
          <w:p>
            <w:pPr>
              <w:pStyle w:val="38"/>
              <w:jc w:val="center"/>
              <w:rPr>
                <w:rFonts w:ascii="Times New Roman" w:hAnsi="Times New Roman" w:cs="Times New Roman"/>
                <w:color w:val="000000"/>
              </w:rPr>
            </w:pPr>
            <w:r>
              <w:rPr>
                <w:rFonts w:ascii="Times New Roman" w:hAnsi="Times New Roman" w:cs="Times New Roman"/>
                <w:color w:val="000000"/>
              </w:rPr>
              <w:t>实践环节</w:t>
            </w:r>
          </w:p>
          <w:p>
            <w:pPr>
              <w:pStyle w:val="38"/>
              <w:jc w:val="center"/>
              <w:rPr>
                <w:rFonts w:ascii="Times New Roman" w:hAnsi="Times New Roman" w:cs="Times New Roman"/>
                <w:color w:val="000000"/>
              </w:rPr>
            </w:pPr>
            <w:r>
              <w:rPr>
                <w:rFonts w:ascii="Times New Roman" w:hAnsi="Times New Roman" w:cs="Times New Roman"/>
                <w:color w:val="000000"/>
              </w:rPr>
              <w:t>中期考核</w:t>
            </w:r>
          </w:p>
          <w:p>
            <w:pPr>
              <w:pStyle w:val="38"/>
              <w:jc w:val="center"/>
              <w:rPr>
                <w:rFonts w:ascii="Times New Roman" w:hAnsi="Times New Roman" w:cs="Times New Roman"/>
                <w:color w:val="000000"/>
              </w:rPr>
            </w:pPr>
            <w:r>
              <w:rPr>
                <w:rFonts w:ascii="Times New Roman" w:hAnsi="Times New Roman" w:cs="Times New Roman"/>
                <w:color w:val="000000"/>
              </w:rPr>
              <w:t>预答辩</w:t>
            </w:r>
          </w:p>
        </w:tc>
        <w:tc>
          <w:tcPr>
            <w:tcW w:w="1771" w:type="dxa"/>
            <w:tcBorders>
              <w:top w:val="single" w:color="4472C4" w:sz="2" w:space="0"/>
              <w:left w:val="single" w:color="4472C4" w:sz="2" w:space="0"/>
              <w:bottom w:val="single" w:color="4472C4" w:sz="2" w:space="0"/>
              <w:right w:val="single" w:color="4472C4" w:sz="2" w:space="0"/>
            </w:tcBorders>
            <w:shd w:val="clear" w:color="auto" w:fill="FFFFFF"/>
            <w:vAlign w:val="center"/>
          </w:tcPr>
          <w:p>
            <w:pPr>
              <w:pStyle w:val="38"/>
              <w:jc w:val="center"/>
              <w:rPr>
                <w:rFonts w:ascii="Times New Roman" w:hAnsi="Times New Roman" w:cs="Times New Roman"/>
                <w:color w:val="000000"/>
              </w:rPr>
            </w:pPr>
            <w:r>
              <w:rPr>
                <w:rFonts w:ascii="Times New Roman" w:hAnsi="Times New Roman" w:cs="Times New Roman"/>
                <w:color w:val="000000"/>
              </w:rPr>
              <w:t>答辩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827" w:type="dxa"/>
            <w:tcBorders>
              <w:top w:val="single" w:color="4472C4" w:sz="2" w:space="0"/>
              <w:left w:val="single" w:color="4472C4" w:sz="2" w:space="0"/>
              <w:bottom w:val="single" w:color="4472C4" w:sz="2" w:space="0"/>
              <w:right w:val="single" w:color="4472C4" w:sz="2" w:space="0"/>
            </w:tcBorders>
            <w:shd w:val="clear" w:color="auto" w:fill="FFFFFF"/>
            <w:vAlign w:val="center"/>
          </w:tcPr>
          <w:p>
            <w:pPr>
              <w:pStyle w:val="38"/>
              <w:rPr>
                <w:rFonts w:ascii="Times New Roman" w:hAnsi="Times New Roman" w:cs="Times New Roman"/>
                <w:color w:val="000000"/>
              </w:rPr>
            </w:pPr>
          </w:p>
        </w:tc>
        <w:tc>
          <w:tcPr>
            <w:tcW w:w="9031" w:type="dxa"/>
            <w:gridSpan w:val="7"/>
            <w:tcBorders>
              <w:top w:val="single" w:color="4472C4" w:sz="2" w:space="0"/>
              <w:left w:val="single" w:color="4472C4" w:sz="2" w:space="0"/>
              <w:bottom w:val="single" w:color="4472C4" w:sz="2" w:space="0"/>
              <w:right w:val="single" w:color="4472C4" w:sz="2" w:space="0"/>
            </w:tcBorders>
            <w:shd w:val="clear" w:color="auto" w:fill="FFFFFF"/>
            <w:vAlign w:val="center"/>
          </w:tcPr>
          <w:p>
            <w:pPr>
              <w:pStyle w:val="38"/>
              <w:jc w:val="center"/>
              <w:rPr>
                <w:rFonts w:ascii="Times New Roman" w:hAnsi="Times New Roman" w:cs="Times New Roman"/>
                <w:color w:val="000000"/>
              </w:rPr>
            </w:pPr>
            <w:r>
              <w:rPr>
                <w:rFonts w:ascii="Times New Roman" w:hAnsi="Times New Roman" w:cs="Times New Roman"/>
                <w:color w:val="000000"/>
              </w:rPr>
              <w:t>科研训练贯</w:t>
            </w:r>
            <w:r>
              <w:rPr>
                <w:rFonts w:hint="eastAsia" w:ascii="Times New Roman" w:hAnsi="Times New Roman" w:cs="Times New Roman"/>
                <w:color w:val="000000"/>
              </w:rPr>
              <w:t>穿</w:t>
            </w:r>
            <w:r>
              <w:rPr>
                <w:rFonts w:ascii="Times New Roman" w:hAnsi="Times New Roman" w:cs="Times New Roman"/>
                <w:color w:val="000000"/>
              </w:rPr>
              <w:t>始终</w:t>
            </w:r>
          </w:p>
        </w:tc>
      </w:tr>
    </w:tbl>
    <w:p>
      <w:pPr>
        <w:rPr>
          <w:rFonts w:ascii="Times New Roman" w:hAnsi="Times New Roman" w:eastAsia="黑体" w:cs="Times New Roman"/>
          <w:sz w:val="24"/>
          <w:szCs w:val="24"/>
        </w:rPr>
      </w:pPr>
    </w:p>
    <w:p>
      <w:pPr>
        <w:spacing w:before="156" w:beforeLines="50" w:after="156" w:afterLines="50"/>
        <w:ind w:firstLine="420" w:firstLineChars="200"/>
        <w:rPr>
          <w:rFonts w:ascii="Times New Roman" w:hAnsi="Times New Roman" w:eastAsia="黑体" w:cs="Times New Roman"/>
          <w:szCs w:val="21"/>
        </w:rPr>
      </w:pPr>
      <w:r>
        <w:rPr>
          <w:rFonts w:ascii="Times New Roman" w:hAnsi="Times New Roman" w:eastAsia="黑体" w:cs="Times New Roman"/>
          <w:szCs w:val="21"/>
        </w:rPr>
        <w:t>1.基本文献阅读能力</w:t>
      </w:r>
    </w:p>
    <w:p>
      <w:pPr>
        <w:ind w:firstLine="420" w:firstLineChars="200"/>
        <w:rPr>
          <w:rFonts w:ascii="Times New Roman" w:hAnsi="Times New Roman" w:cs="Times New Roman"/>
          <w:szCs w:val="21"/>
        </w:rPr>
      </w:pPr>
      <w:r>
        <w:rPr>
          <w:rFonts w:ascii="Times New Roman" w:hAnsi="Times New Roman" w:cs="Times New Roman"/>
          <w:szCs w:val="21"/>
        </w:rPr>
        <w:t>（1）考核要求</w:t>
      </w:r>
    </w:p>
    <w:p>
      <w:pPr>
        <w:ind w:firstLine="420" w:firstLineChars="200"/>
        <w:rPr>
          <w:rFonts w:ascii="Times New Roman" w:hAnsi="Times New Roman" w:cs="Times New Roman"/>
          <w:szCs w:val="21"/>
        </w:rPr>
      </w:pPr>
      <w:r>
        <w:rPr>
          <w:rFonts w:ascii="Times New Roman" w:hAnsi="Times New Roman" w:cs="Times New Roman"/>
          <w:szCs w:val="21"/>
        </w:rPr>
        <w:t>硕士研究生</w:t>
      </w:r>
      <w:r>
        <w:rPr>
          <w:rFonts w:ascii="Times New Roman" w:hAnsi="Times New Roman" w:eastAsia="宋体" w:cs="Times New Roman"/>
          <w:kern w:val="0"/>
          <w:szCs w:val="21"/>
        </w:rPr>
        <w:t>在读期间需要完成本专业培养方案中所列基本文献的阅读。笔试、面试、读书报告结合。</w:t>
      </w:r>
    </w:p>
    <w:p>
      <w:pPr>
        <w:ind w:firstLine="420" w:firstLineChars="200"/>
        <w:rPr>
          <w:rFonts w:ascii="Times New Roman" w:hAnsi="Times New Roman" w:cs="Times New Roman"/>
          <w:szCs w:val="21"/>
        </w:rPr>
      </w:pPr>
      <w:r>
        <w:rPr>
          <w:rFonts w:ascii="Times New Roman" w:hAnsi="Times New Roman" w:cs="Times New Roman"/>
          <w:szCs w:val="21"/>
        </w:rPr>
        <w:t>（2）考核结果及分流说明</w:t>
      </w:r>
    </w:p>
    <w:p>
      <w:pPr>
        <w:ind w:firstLine="420" w:firstLineChars="200"/>
        <w:rPr>
          <w:rFonts w:ascii="Times New Roman" w:hAnsi="Times New Roman" w:cs="Times New Roman"/>
          <w:szCs w:val="21"/>
        </w:rPr>
      </w:pPr>
      <w:r>
        <w:rPr>
          <w:rFonts w:ascii="Times New Roman" w:hAnsi="Times New Roman" w:cs="Times New Roman"/>
          <w:szCs w:val="21"/>
        </w:rPr>
        <w:t>优秀、合格、不合格；不合格者，半年以内</w:t>
      </w:r>
      <w:r>
        <w:rPr>
          <w:rFonts w:hint="eastAsia" w:ascii="Times New Roman" w:hAnsi="Times New Roman" w:cs="Times New Roman"/>
          <w:szCs w:val="21"/>
        </w:rPr>
        <w:t>进行重新考核</w:t>
      </w:r>
      <w:r>
        <w:rPr>
          <w:rFonts w:ascii="Times New Roman" w:hAnsi="Times New Roman" w:cs="Times New Roman"/>
          <w:szCs w:val="21"/>
        </w:rPr>
        <w:t>。</w:t>
      </w:r>
    </w:p>
    <w:p>
      <w:pPr>
        <w:spacing w:before="156" w:beforeLines="50" w:after="156" w:afterLines="50"/>
        <w:ind w:firstLine="420" w:firstLineChars="200"/>
        <w:rPr>
          <w:rFonts w:ascii="Times New Roman" w:hAnsi="Times New Roman" w:cs="Times New Roman"/>
          <w:b/>
          <w:szCs w:val="21"/>
        </w:rPr>
      </w:pPr>
      <w:r>
        <w:rPr>
          <w:rFonts w:ascii="Times New Roman" w:hAnsi="Times New Roman" w:eastAsia="黑体" w:cs="Times New Roman"/>
          <w:szCs w:val="21"/>
        </w:rPr>
        <w:t>2.开题报告</w:t>
      </w:r>
    </w:p>
    <w:p>
      <w:pPr>
        <w:ind w:firstLine="420" w:firstLineChars="200"/>
        <w:rPr>
          <w:rFonts w:ascii="Times New Roman" w:hAnsi="Times New Roman" w:cs="Times New Roman"/>
          <w:szCs w:val="21"/>
        </w:rPr>
      </w:pPr>
      <w:r>
        <w:rPr>
          <w:rFonts w:ascii="Times New Roman" w:hAnsi="Times New Roman" w:cs="Times New Roman"/>
          <w:szCs w:val="21"/>
        </w:rPr>
        <w:t>（1）准入条件</w:t>
      </w:r>
    </w:p>
    <w:p>
      <w:pPr>
        <w:ind w:firstLine="420" w:firstLineChars="200"/>
        <w:rPr>
          <w:rFonts w:ascii="Times New Roman" w:hAnsi="Times New Roman" w:cs="Times New Roman"/>
          <w:szCs w:val="21"/>
        </w:rPr>
      </w:pPr>
      <w:r>
        <w:rPr>
          <w:rFonts w:ascii="Times New Roman" w:hAnsi="Times New Roman" w:cs="Times New Roman"/>
          <w:szCs w:val="21"/>
        </w:rPr>
        <w:t>课程学分修满，完成至少1章论文撰写。</w:t>
      </w:r>
    </w:p>
    <w:p>
      <w:pPr>
        <w:ind w:firstLine="420" w:firstLineChars="200"/>
        <w:rPr>
          <w:rFonts w:ascii="Times New Roman" w:hAnsi="Times New Roman" w:cs="Times New Roman"/>
          <w:szCs w:val="21"/>
        </w:rPr>
      </w:pPr>
      <w:r>
        <w:rPr>
          <w:rFonts w:ascii="Times New Roman" w:hAnsi="Times New Roman" w:cs="Times New Roman"/>
          <w:szCs w:val="21"/>
        </w:rPr>
        <w:t>（2）考核要求</w:t>
      </w:r>
    </w:p>
    <w:p>
      <w:pPr>
        <w:ind w:firstLine="420" w:firstLineChars="200"/>
        <w:rPr>
          <w:rFonts w:ascii="Times New Roman" w:hAnsi="Times New Roman" w:cs="Times New Roman"/>
          <w:szCs w:val="21"/>
        </w:rPr>
      </w:pPr>
      <w:r>
        <w:rPr>
          <w:rFonts w:ascii="Times New Roman" w:hAnsi="Times New Roman" w:cs="Times New Roman"/>
          <w:szCs w:val="21"/>
        </w:rPr>
        <w:t>由学院统一组织，重点考核文献综述、选题背景及其意义、研究内容、创新点、重点与难点、数据来源、研究方法等。开题报告考核小组成员不少于3人，由具有硕士生指导资格的、副高级及以上职称的专家组成。</w:t>
      </w:r>
    </w:p>
    <w:p>
      <w:pPr>
        <w:ind w:firstLine="420" w:firstLineChars="200"/>
        <w:rPr>
          <w:rFonts w:ascii="Times New Roman" w:hAnsi="Times New Roman" w:cs="Times New Roman"/>
          <w:szCs w:val="21"/>
        </w:rPr>
      </w:pPr>
      <w:r>
        <w:rPr>
          <w:rFonts w:ascii="Times New Roman" w:hAnsi="Times New Roman" w:cs="Times New Roman"/>
          <w:szCs w:val="21"/>
        </w:rPr>
        <w:t>（3）考核结果及分流说明</w:t>
      </w:r>
    </w:p>
    <w:p>
      <w:pPr>
        <w:ind w:firstLine="420" w:firstLineChars="200"/>
        <w:rPr>
          <w:rFonts w:ascii="Times New Roman" w:hAnsi="Times New Roman" w:cs="Times New Roman"/>
          <w:szCs w:val="21"/>
        </w:rPr>
      </w:pPr>
      <w:r>
        <w:rPr>
          <w:rFonts w:ascii="Times New Roman" w:hAnsi="Times New Roman" w:cs="Times New Roman"/>
          <w:szCs w:val="21"/>
        </w:rPr>
        <w:t>考核结果分为通过、不通过两种。未通过者，2-3个月</w:t>
      </w:r>
      <w:r>
        <w:rPr>
          <w:rFonts w:hint="eastAsia" w:ascii="Times New Roman" w:hAnsi="Times New Roman" w:cs="Times New Roman"/>
          <w:szCs w:val="21"/>
        </w:rPr>
        <w:t>申请</w:t>
      </w:r>
      <w:r>
        <w:rPr>
          <w:rFonts w:ascii="Times New Roman" w:hAnsi="Times New Roman" w:cs="Times New Roman"/>
          <w:szCs w:val="21"/>
        </w:rPr>
        <w:t>第二次开题</w:t>
      </w:r>
      <w:r>
        <w:rPr>
          <w:rFonts w:hint="eastAsia" w:ascii="Times New Roman" w:hAnsi="Times New Roman" w:cs="Times New Roman"/>
          <w:szCs w:val="21"/>
        </w:rPr>
        <w:t>，仍</w:t>
      </w:r>
      <w:r>
        <w:rPr>
          <w:rFonts w:ascii="Times New Roman" w:hAnsi="Times New Roman" w:cs="Times New Roman"/>
          <w:szCs w:val="21"/>
        </w:rPr>
        <w:t>未通过者（含主动放弃者），按肄业处理。研究过程中，如论文课题出现重大变动的，应重新组织开题。</w:t>
      </w:r>
    </w:p>
    <w:p>
      <w:pPr>
        <w:spacing w:before="156" w:beforeLines="50" w:after="156" w:afterLines="50"/>
        <w:ind w:firstLine="420" w:firstLineChars="200"/>
        <w:rPr>
          <w:rFonts w:ascii="Times New Roman" w:hAnsi="Times New Roman" w:cs="Times New Roman"/>
          <w:b/>
          <w:szCs w:val="21"/>
        </w:rPr>
      </w:pPr>
      <w:r>
        <w:rPr>
          <w:rFonts w:ascii="Times New Roman" w:hAnsi="Times New Roman" w:eastAsia="黑体" w:cs="Times New Roman"/>
          <w:szCs w:val="21"/>
        </w:rPr>
        <w:t>3.学术活动</w:t>
      </w:r>
    </w:p>
    <w:p>
      <w:pPr>
        <w:ind w:firstLine="420" w:firstLineChars="200"/>
        <w:rPr>
          <w:rFonts w:ascii="Times New Roman" w:hAnsi="Times New Roman" w:cs="Times New Roman"/>
          <w:szCs w:val="21"/>
        </w:rPr>
      </w:pPr>
      <w:r>
        <w:rPr>
          <w:rFonts w:ascii="Times New Roman" w:hAnsi="Times New Roman" w:cs="Times New Roman"/>
          <w:szCs w:val="21"/>
        </w:rPr>
        <w:t>（1）考核要求</w:t>
      </w:r>
    </w:p>
    <w:p>
      <w:pPr>
        <w:ind w:firstLine="420" w:firstLineChars="200"/>
        <w:rPr>
          <w:rFonts w:ascii="Times New Roman" w:hAnsi="Times New Roman" w:cs="Times New Roman"/>
          <w:szCs w:val="21"/>
        </w:rPr>
      </w:pPr>
      <w:r>
        <w:rPr>
          <w:rFonts w:ascii="Times New Roman" w:hAnsi="Times New Roman" w:cs="Times New Roman"/>
          <w:szCs w:val="21"/>
        </w:rPr>
        <w:t>包括学术讲座、学术会议和学科竞赛等，不少于30次；网上即时登记</w:t>
      </w:r>
      <w:r>
        <w:rPr>
          <w:rFonts w:hint="eastAsia" w:ascii="Times New Roman" w:hAnsi="Times New Roman" w:cs="Times New Roman"/>
          <w:szCs w:val="21"/>
        </w:rPr>
        <w:t>，</w:t>
      </w:r>
      <w:r>
        <w:rPr>
          <w:rFonts w:ascii="Times New Roman" w:hAnsi="Times New Roman" w:cs="Times New Roman"/>
          <w:szCs w:val="21"/>
        </w:rPr>
        <w:t>提交《学术活动登记表》。</w:t>
      </w:r>
    </w:p>
    <w:p>
      <w:pPr>
        <w:ind w:firstLine="420" w:firstLineChars="200"/>
        <w:rPr>
          <w:rFonts w:ascii="Times New Roman" w:hAnsi="Times New Roman" w:cs="Times New Roman"/>
          <w:szCs w:val="21"/>
        </w:rPr>
      </w:pPr>
      <w:r>
        <w:rPr>
          <w:rFonts w:ascii="Times New Roman" w:hAnsi="Times New Roman" w:cs="Times New Roman"/>
          <w:szCs w:val="21"/>
        </w:rPr>
        <w:t>（2）考核结果及分流说明</w:t>
      </w:r>
    </w:p>
    <w:p>
      <w:pPr>
        <w:ind w:firstLine="420" w:firstLineChars="200"/>
        <w:rPr>
          <w:rFonts w:ascii="Times New Roman" w:hAnsi="Times New Roman" w:cs="Times New Roman"/>
          <w:szCs w:val="21"/>
        </w:rPr>
      </w:pPr>
      <w:r>
        <w:rPr>
          <w:rFonts w:ascii="Times New Roman" w:hAnsi="Times New Roman" w:cs="Times New Roman"/>
          <w:szCs w:val="21"/>
        </w:rPr>
        <w:t>未通过者，第4学期结束前提交完成。</w:t>
      </w:r>
    </w:p>
    <w:p>
      <w:pPr>
        <w:spacing w:before="156" w:beforeLines="50" w:after="156" w:afterLines="50"/>
        <w:ind w:firstLine="420" w:firstLineChars="200"/>
        <w:rPr>
          <w:rFonts w:ascii="Times New Roman" w:hAnsi="Times New Roman" w:cs="Times New Roman"/>
          <w:b/>
          <w:szCs w:val="21"/>
        </w:rPr>
      </w:pPr>
      <w:r>
        <w:rPr>
          <w:rFonts w:ascii="Times New Roman" w:hAnsi="Times New Roman" w:eastAsia="黑体" w:cs="Times New Roman"/>
          <w:szCs w:val="21"/>
        </w:rPr>
        <w:t>4.实践环节与科研训练</w:t>
      </w:r>
    </w:p>
    <w:p>
      <w:pPr>
        <w:ind w:firstLine="420" w:firstLineChars="200"/>
        <w:rPr>
          <w:rFonts w:ascii="Times New Roman" w:hAnsi="Times New Roman" w:cs="Times New Roman"/>
          <w:szCs w:val="21"/>
        </w:rPr>
      </w:pPr>
      <w:r>
        <w:rPr>
          <w:rFonts w:ascii="Times New Roman" w:hAnsi="Times New Roman" w:cs="Times New Roman"/>
          <w:szCs w:val="21"/>
        </w:rPr>
        <w:t>（1）考核要求</w:t>
      </w:r>
    </w:p>
    <w:p>
      <w:pPr>
        <w:ind w:firstLine="420" w:firstLineChars="200"/>
        <w:rPr>
          <w:rFonts w:ascii="Times New Roman" w:hAnsi="Times New Roman" w:cs="Times New Roman"/>
          <w:szCs w:val="21"/>
        </w:rPr>
      </w:pPr>
      <w:r>
        <w:rPr>
          <w:rFonts w:ascii="Times New Roman" w:hAnsi="Times New Roman" w:cs="Times New Roman"/>
          <w:szCs w:val="21"/>
        </w:rPr>
        <w:t>包括教学实习</w:t>
      </w:r>
      <w:r>
        <w:rPr>
          <w:rFonts w:hint="eastAsia" w:ascii="Times New Roman" w:hAnsi="Times New Roman" w:cs="Times New Roman"/>
          <w:szCs w:val="21"/>
        </w:rPr>
        <w:t>/</w:t>
      </w:r>
      <w:r>
        <w:rPr>
          <w:rFonts w:ascii="Times New Roman" w:hAnsi="Times New Roman" w:cs="Times New Roman"/>
          <w:szCs w:val="21"/>
        </w:rPr>
        <w:t>科研实践、社会实践。教学实习或科研实践需完成至少40学时的工作量，社会实践需完成至少10个工作日的工作量。</w:t>
      </w:r>
    </w:p>
    <w:p>
      <w:pPr>
        <w:ind w:firstLine="420" w:firstLineChars="200"/>
        <w:rPr>
          <w:rFonts w:ascii="Times New Roman" w:hAnsi="Times New Roman" w:cs="Times New Roman"/>
          <w:szCs w:val="21"/>
        </w:rPr>
      </w:pPr>
      <w:r>
        <w:rPr>
          <w:rFonts w:ascii="Times New Roman" w:hAnsi="Times New Roman" w:cs="Times New Roman"/>
          <w:szCs w:val="21"/>
        </w:rPr>
        <w:t>（2）考核结果及分流说明</w:t>
      </w:r>
    </w:p>
    <w:p>
      <w:pPr>
        <w:ind w:firstLine="420" w:firstLineChars="200"/>
        <w:rPr>
          <w:rFonts w:ascii="Times New Roman" w:hAnsi="Times New Roman" w:cs="Times New Roman"/>
          <w:szCs w:val="21"/>
        </w:rPr>
      </w:pPr>
      <w:r>
        <w:rPr>
          <w:rFonts w:ascii="Times New Roman" w:hAnsi="Times New Roman" w:cs="Times New Roman"/>
          <w:szCs w:val="21"/>
        </w:rPr>
        <w:t>未通过者，第4学期结束前完成。</w:t>
      </w:r>
    </w:p>
    <w:p>
      <w:pPr>
        <w:spacing w:before="156" w:beforeLines="50" w:after="156" w:afterLines="50"/>
        <w:ind w:firstLine="420" w:firstLineChars="200"/>
        <w:rPr>
          <w:rFonts w:ascii="Times New Roman" w:hAnsi="Times New Roman" w:cs="Times New Roman"/>
          <w:b/>
          <w:szCs w:val="21"/>
        </w:rPr>
      </w:pPr>
      <w:r>
        <w:rPr>
          <w:rFonts w:ascii="Times New Roman" w:hAnsi="Times New Roman" w:eastAsia="黑体" w:cs="Times New Roman"/>
          <w:szCs w:val="21"/>
        </w:rPr>
        <w:t>5.中期考核</w:t>
      </w:r>
    </w:p>
    <w:p>
      <w:pPr>
        <w:ind w:firstLine="420" w:firstLineChars="200"/>
        <w:rPr>
          <w:rFonts w:ascii="Times New Roman" w:hAnsi="Times New Roman" w:cs="Times New Roman"/>
          <w:szCs w:val="21"/>
        </w:rPr>
      </w:pPr>
      <w:r>
        <w:rPr>
          <w:rFonts w:ascii="Times New Roman" w:hAnsi="Times New Roman" w:cs="Times New Roman"/>
          <w:szCs w:val="21"/>
        </w:rPr>
        <w:t>（1）准入条件</w:t>
      </w:r>
    </w:p>
    <w:p>
      <w:pPr>
        <w:ind w:firstLine="420" w:firstLineChars="200"/>
        <w:rPr>
          <w:rFonts w:ascii="Times New Roman" w:hAnsi="Times New Roman" w:cs="Times New Roman"/>
          <w:szCs w:val="21"/>
        </w:rPr>
      </w:pPr>
      <w:r>
        <w:rPr>
          <w:rFonts w:ascii="Times New Roman" w:hAnsi="Times New Roman" w:cs="Times New Roman"/>
          <w:szCs w:val="21"/>
        </w:rPr>
        <w:t>完成课程修读、基本文献阅读能力、开题报告、学术活动、实践环节和科研训练等。</w:t>
      </w:r>
    </w:p>
    <w:p>
      <w:pPr>
        <w:ind w:firstLine="420" w:firstLineChars="200"/>
        <w:rPr>
          <w:rFonts w:ascii="Times New Roman" w:hAnsi="Times New Roman" w:cs="Times New Roman"/>
          <w:szCs w:val="21"/>
        </w:rPr>
      </w:pPr>
      <w:r>
        <w:rPr>
          <w:rFonts w:ascii="Times New Roman" w:hAnsi="Times New Roman" w:cs="Times New Roman"/>
          <w:szCs w:val="21"/>
        </w:rPr>
        <w:t>（2）考核要求</w:t>
      </w:r>
    </w:p>
    <w:p>
      <w:pPr>
        <w:ind w:firstLine="420" w:firstLineChars="200"/>
        <w:rPr>
          <w:rFonts w:ascii="Times New Roman" w:hAnsi="Times New Roman" w:cs="Times New Roman"/>
          <w:szCs w:val="21"/>
        </w:rPr>
      </w:pPr>
      <w:r>
        <w:rPr>
          <w:rFonts w:ascii="Times New Roman" w:hAnsi="Times New Roman" w:cs="Times New Roman"/>
          <w:szCs w:val="21"/>
        </w:rPr>
        <w:t>全面检查学业进展、完成情况。</w:t>
      </w:r>
    </w:p>
    <w:p>
      <w:pPr>
        <w:ind w:firstLine="420" w:firstLineChars="200"/>
        <w:rPr>
          <w:rFonts w:ascii="Times New Roman" w:hAnsi="Times New Roman" w:cs="Times New Roman"/>
          <w:szCs w:val="21"/>
        </w:rPr>
      </w:pPr>
      <w:r>
        <w:rPr>
          <w:rFonts w:ascii="Times New Roman" w:hAnsi="Times New Roman" w:cs="Times New Roman"/>
          <w:szCs w:val="21"/>
        </w:rPr>
        <w:t>（3）考核结果及分流说明</w:t>
      </w:r>
    </w:p>
    <w:p>
      <w:pPr>
        <w:ind w:firstLine="420" w:firstLineChars="200"/>
        <w:rPr>
          <w:rFonts w:ascii="Times New Roman" w:hAnsi="Times New Roman" w:cs="Times New Roman"/>
          <w:szCs w:val="21"/>
        </w:rPr>
      </w:pPr>
      <w:r>
        <w:rPr>
          <w:rFonts w:ascii="Times New Roman" w:hAnsi="Times New Roman" w:cs="Times New Roman"/>
          <w:szCs w:val="21"/>
        </w:rPr>
        <w:t>各环节考核通过者，中期考核通过，否则为不通过。中期考核通过者，方可进入毕业论文预答辩或答辩程序。不通过者，根据学业进展情况，可作延长学习年限（最长5年）、结业或肄业处理。</w:t>
      </w:r>
    </w:p>
    <w:p>
      <w:pPr>
        <w:spacing w:before="156" w:beforeLines="50" w:after="156" w:afterLines="50"/>
        <w:ind w:firstLine="420" w:firstLineChars="200"/>
        <w:rPr>
          <w:rFonts w:ascii="Times New Roman" w:hAnsi="Times New Roman" w:cs="Times New Roman"/>
          <w:szCs w:val="21"/>
        </w:rPr>
      </w:pPr>
      <w:r>
        <w:rPr>
          <w:rFonts w:ascii="Times New Roman" w:hAnsi="Times New Roman" w:eastAsia="黑体" w:cs="Times New Roman"/>
          <w:szCs w:val="21"/>
        </w:rPr>
        <w:t>6.论文预答辩</w:t>
      </w:r>
    </w:p>
    <w:p>
      <w:pPr>
        <w:tabs>
          <w:tab w:val="left" w:pos="1815"/>
        </w:tabs>
        <w:ind w:firstLine="420" w:firstLineChars="200"/>
        <w:rPr>
          <w:rFonts w:ascii="Times New Roman" w:hAnsi="Times New Roman" w:cs="Times New Roman"/>
          <w:szCs w:val="21"/>
        </w:rPr>
      </w:pPr>
      <w:r>
        <w:rPr>
          <w:rFonts w:ascii="Times New Roman" w:hAnsi="Times New Roman" w:cs="Times New Roman"/>
          <w:szCs w:val="21"/>
        </w:rPr>
        <w:t>（1）准入条件</w:t>
      </w:r>
      <w:r>
        <w:rPr>
          <w:rFonts w:ascii="Times New Roman" w:hAnsi="Times New Roman" w:cs="Times New Roman"/>
          <w:szCs w:val="21"/>
        </w:rPr>
        <w:tab/>
      </w:r>
    </w:p>
    <w:p>
      <w:pPr>
        <w:tabs>
          <w:tab w:val="left" w:pos="1815"/>
        </w:tabs>
        <w:ind w:firstLine="420" w:firstLineChars="200"/>
        <w:rPr>
          <w:rFonts w:ascii="Times New Roman" w:hAnsi="Times New Roman" w:cs="Times New Roman"/>
          <w:szCs w:val="21"/>
        </w:rPr>
      </w:pPr>
      <w:r>
        <w:rPr>
          <w:rFonts w:ascii="Times New Roman" w:hAnsi="Times New Roman" w:cs="Times New Roman"/>
          <w:szCs w:val="21"/>
        </w:rPr>
        <w:t>中期考核通过，导师同意。</w:t>
      </w:r>
    </w:p>
    <w:p>
      <w:pPr>
        <w:ind w:firstLine="420" w:firstLineChars="200"/>
        <w:rPr>
          <w:rFonts w:ascii="Times New Roman" w:hAnsi="Times New Roman" w:cs="Times New Roman"/>
          <w:szCs w:val="21"/>
        </w:rPr>
      </w:pPr>
      <w:r>
        <w:rPr>
          <w:rFonts w:ascii="Times New Roman" w:hAnsi="Times New Roman" w:cs="Times New Roman"/>
          <w:szCs w:val="21"/>
        </w:rPr>
        <w:t>（2）考核要求</w:t>
      </w:r>
    </w:p>
    <w:p>
      <w:pPr>
        <w:ind w:firstLine="420" w:firstLineChars="200"/>
        <w:rPr>
          <w:rFonts w:ascii="Times New Roman" w:hAnsi="Times New Roman" w:cs="Times New Roman"/>
          <w:szCs w:val="21"/>
        </w:rPr>
      </w:pPr>
      <w:r>
        <w:rPr>
          <w:rFonts w:ascii="Times New Roman" w:hAnsi="Times New Roman" w:cs="Times New Roman"/>
          <w:szCs w:val="21"/>
        </w:rPr>
        <w:t>预答辩应由学院统一组织实施，预答辩委员会由至少三人组成，采用无记名投票方式对论文初稿进行考核。</w:t>
      </w:r>
    </w:p>
    <w:p>
      <w:pPr>
        <w:ind w:firstLine="420" w:firstLineChars="200"/>
        <w:rPr>
          <w:rFonts w:ascii="Times New Roman" w:hAnsi="Times New Roman" w:cs="Times New Roman"/>
          <w:szCs w:val="21"/>
        </w:rPr>
      </w:pPr>
      <w:r>
        <w:rPr>
          <w:rFonts w:ascii="Times New Roman" w:hAnsi="Times New Roman" w:cs="Times New Roman"/>
          <w:szCs w:val="21"/>
        </w:rPr>
        <w:t>（3）考核结果及分流说明</w:t>
      </w:r>
    </w:p>
    <w:p>
      <w:pPr>
        <w:ind w:firstLine="420" w:firstLineChars="200"/>
        <w:rPr>
          <w:rFonts w:ascii="Times New Roman" w:hAnsi="Times New Roman" w:cs="Times New Roman"/>
          <w:szCs w:val="21"/>
        </w:rPr>
      </w:pPr>
      <w:r>
        <w:rPr>
          <w:rFonts w:ascii="Times New Roman" w:hAnsi="Times New Roman" w:cs="Times New Roman"/>
          <w:szCs w:val="21"/>
        </w:rPr>
        <w:t>预答辩结论为三类：合格、基本合格和不合格。预答辩合格者，以及基本合格但修改后经导师同意者，可进入论文评阅、答辩等后续环节。预答辩不合格者，硕士生根据预答辩小组意见，全面修改论文，经导师审阅同意后，重新进行预答辩。</w:t>
      </w:r>
    </w:p>
    <w:p>
      <w:pPr>
        <w:spacing w:before="156" w:beforeLines="50" w:after="156" w:afterLines="50"/>
        <w:ind w:left="420"/>
        <w:rPr>
          <w:rFonts w:ascii="Times New Roman" w:hAnsi="Times New Roman" w:eastAsia="黑体" w:cs="Times New Roman"/>
          <w:sz w:val="24"/>
          <w:szCs w:val="24"/>
        </w:rPr>
      </w:pPr>
      <w:r>
        <w:rPr>
          <w:rFonts w:ascii="Times New Roman" w:hAnsi="Times New Roman" w:eastAsia="黑体" w:cs="Times New Roman"/>
          <w:sz w:val="24"/>
          <w:szCs w:val="24"/>
        </w:rPr>
        <w:t>八、创新成果考核</w:t>
      </w:r>
    </w:p>
    <w:p>
      <w:pPr>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1.基本原则。鼓励硕士研究生发表高质量的学术论文。</w:t>
      </w:r>
    </w:p>
    <w:p>
      <w:pPr>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2.考核要求。对于在学期间发表高质量学术论文的硕士研究生给予必要的奖励，作为评选奖学金、优秀毕业生、直升博士研究生等的重要评价指标。</w:t>
      </w:r>
    </w:p>
    <w:p>
      <w:pPr>
        <w:spacing w:before="156" w:beforeLines="50" w:after="156" w:afterLines="50"/>
        <w:ind w:left="420"/>
        <w:rPr>
          <w:rFonts w:ascii="Times New Roman" w:hAnsi="Times New Roman" w:eastAsia="黑体" w:cs="Times New Roman"/>
          <w:sz w:val="24"/>
          <w:szCs w:val="24"/>
        </w:rPr>
      </w:pPr>
      <w:r>
        <w:rPr>
          <w:rFonts w:ascii="Times New Roman" w:hAnsi="Times New Roman" w:eastAsia="黑体" w:cs="Times New Roman"/>
          <w:sz w:val="24"/>
          <w:szCs w:val="24"/>
        </w:rPr>
        <w:t>九、学位论文要求</w:t>
      </w:r>
    </w:p>
    <w:p>
      <w:pPr>
        <w:ind w:firstLine="420" w:firstLineChars="200"/>
        <w:rPr>
          <w:rFonts w:ascii="Times New Roman" w:hAnsi="Times New Roman" w:cs="Times New Roman"/>
          <w:szCs w:val="21"/>
        </w:rPr>
      </w:pPr>
      <w:r>
        <w:rPr>
          <w:rFonts w:ascii="Times New Roman" w:hAnsi="Times New Roman" w:cs="Times New Roman"/>
          <w:szCs w:val="21"/>
        </w:rPr>
        <w:t>1.基本安排。学位论文是对硕士研究生进行科学研究的全面训练。硕士研究生应有不少于1年的时间，在导师的指导下，进行学位论文相关的科研训练，独立设计和完成某一科研课题，培养独立科研工作能力的过程。</w:t>
      </w:r>
    </w:p>
    <w:p>
      <w:pPr>
        <w:ind w:firstLine="420" w:firstLineChars="200"/>
        <w:rPr>
          <w:rFonts w:ascii="Times New Roman" w:hAnsi="Times New Roman" w:cs="Times New Roman"/>
          <w:szCs w:val="21"/>
        </w:rPr>
      </w:pPr>
      <w:r>
        <w:rPr>
          <w:rFonts w:ascii="Times New Roman" w:hAnsi="Times New Roman" w:cs="Times New Roman"/>
          <w:szCs w:val="21"/>
        </w:rPr>
        <w:t>2.导师责任。导师是研究生培养第一责任人，导师在论文指导中须尽职尽责，研究生与导师应对学位论文的质量共同负责。</w:t>
      </w:r>
    </w:p>
    <w:p>
      <w:pPr>
        <w:ind w:firstLine="420" w:firstLineChars="200"/>
        <w:rPr>
          <w:rFonts w:ascii="Times New Roman" w:hAnsi="Times New Roman" w:cs="Times New Roman"/>
          <w:szCs w:val="21"/>
        </w:rPr>
      </w:pPr>
      <w:r>
        <w:rPr>
          <w:rFonts w:ascii="Times New Roman" w:hAnsi="Times New Roman" w:cs="Times New Roman"/>
          <w:szCs w:val="21"/>
        </w:rPr>
        <w:t>3.考核要求。硕士生学位论文的基本要求、评阅、盲审、答辩，以及学位申请、学位评议与授予，按照《华东师范大学学位授予工作细则》的相关规定执行。</w:t>
      </w:r>
    </w:p>
    <w:p>
      <w:pPr>
        <w:spacing w:before="156" w:beforeLines="50" w:after="156" w:afterLines="50"/>
        <w:ind w:left="420"/>
        <w:rPr>
          <w:rFonts w:ascii="Times New Roman" w:hAnsi="Times New Roman" w:eastAsia="黑体" w:cs="Times New Roman"/>
          <w:sz w:val="24"/>
          <w:szCs w:val="24"/>
        </w:rPr>
      </w:pPr>
      <w:r>
        <w:rPr>
          <w:rFonts w:ascii="Times New Roman" w:hAnsi="Times New Roman" w:eastAsia="黑体" w:cs="Times New Roman"/>
          <w:sz w:val="24"/>
          <w:szCs w:val="24"/>
        </w:rPr>
        <w:t>十、必修课程教材</w:t>
      </w:r>
    </w:p>
    <w:tbl>
      <w:tblPr>
        <w:tblStyle w:val="13"/>
        <w:tblW w:w="0" w:type="auto"/>
        <w:tblInd w:w="6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7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spacing w:line="400" w:lineRule="exact"/>
              <w:rPr>
                <w:rFonts w:ascii="Times New Roman" w:hAnsi="Times New Roman" w:eastAsia="宋体" w:cs="Times New Roman"/>
                <w:szCs w:val="21"/>
              </w:rPr>
            </w:pPr>
            <w:r>
              <w:rPr>
                <w:rFonts w:ascii="Times New Roman" w:hAnsi="Times New Roman" w:eastAsia="宋体" w:cs="Times New Roman"/>
                <w:szCs w:val="21"/>
              </w:rPr>
              <w:t>课程名称</w:t>
            </w:r>
          </w:p>
        </w:tc>
        <w:tc>
          <w:tcPr>
            <w:tcW w:w="7138" w:type="dxa"/>
            <w:vAlign w:val="center"/>
          </w:tcPr>
          <w:p>
            <w:pPr>
              <w:spacing w:line="400" w:lineRule="exact"/>
              <w:rPr>
                <w:rFonts w:ascii="Times New Roman" w:hAnsi="Times New Roman" w:eastAsia="宋体" w:cs="Times New Roman"/>
                <w:szCs w:val="21"/>
              </w:rPr>
            </w:pPr>
            <w:r>
              <w:rPr>
                <w:rFonts w:ascii="Times New Roman" w:hAnsi="Times New Roman" w:cs="Times New Roman"/>
                <w:szCs w:val="21"/>
              </w:rPr>
              <w:t>选用教材（含教材、教学参考书）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spacing w:line="400" w:lineRule="exact"/>
              <w:rPr>
                <w:rFonts w:ascii="Times New Roman" w:hAnsi="Times New Roman" w:eastAsia="宋体" w:cs="Times New Roman"/>
                <w:szCs w:val="21"/>
              </w:rPr>
            </w:pPr>
            <w:r>
              <w:rPr>
                <w:rFonts w:ascii="Times New Roman" w:hAnsi="Times New Roman" w:eastAsia="宋体" w:cs="Times New Roman"/>
                <w:szCs w:val="21"/>
              </w:rPr>
              <w:t>高级微观经济学</w:t>
            </w:r>
          </w:p>
        </w:tc>
        <w:tc>
          <w:tcPr>
            <w:tcW w:w="7138" w:type="dxa"/>
          </w:tcPr>
          <w:p>
            <w:pPr>
              <w:spacing w:line="400" w:lineRule="exact"/>
              <w:rPr>
                <w:rFonts w:ascii="Times New Roman" w:hAnsi="Times New Roman" w:eastAsia="宋体" w:cs="Times New Roman"/>
                <w:szCs w:val="21"/>
              </w:rPr>
            </w:pPr>
            <w:r>
              <w:rPr>
                <w:rFonts w:ascii="Times New Roman" w:hAnsi="Times New Roman" w:eastAsia="宋体" w:cs="Times New Roman"/>
                <w:szCs w:val="21"/>
              </w:rPr>
              <w:t>Hal R. Varian（哈尔·瓦里安[美]）：《微观经济学（高级教程）》（第三版），经济科学出版社，2014年。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spacing w:line="400" w:lineRule="exact"/>
              <w:rPr>
                <w:rFonts w:ascii="Times New Roman" w:hAnsi="Times New Roman" w:eastAsia="宋体" w:cs="Times New Roman"/>
                <w:szCs w:val="21"/>
              </w:rPr>
            </w:pPr>
            <w:r>
              <w:rPr>
                <w:rFonts w:ascii="Times New Roman" w:hAnsi="Times New Roman" w:eastAsia="宋体" w:cs="Times New Roman"/>
                <w:szCs w:val="21"/>
              </w:rPr>
              <w:t>高级宏观经济学</w:t>
            </w:r>
          </w:p>
        </w:tc>
        <w:tc>
          <w:tcPr>
            <w:tcW w:w="7138" w:type="dxa"/>
          </w:tcPr>
          <w:p>
            <w:pPr>
              <w:spacing w:line="400" w:lineRule="exact"/>
              <w:rPr>
                <w:rFonts w:ascii="Times New Roman" w:hAnsi="Times New Roman" w:eastAsia="宋体" w:cs="Times New Roman"/>
                <w:szCs w:val="21"/>
              </w:rPr>
            </w:pPr>
            <w:r>
              <w:rPr>
                <w:rFonts w:ascii="Times New Roman" w:hAnsi="Times New Roman" w:eastAsia="宋体" w:cs="Times New Roman"/>
                <w:szCs w:val="21"/>
              </w:rPr>
              <w:t>1.Advanced Macroeconomics (2nd E), David Romer, 2003, 上海财经大学出版社。</w:t>
            </w:r>
          </w:p>
          <w:p>
            <w:pPr>
              <w:spacing w:line="400" w:lineRule="exact"/>
              <w:rPr>
                <w:rFonts w:ascii="Times New Roman" w:hAnsi="Times New Roman" w:eastAsia="宋体" w:cs="Times New Roman"/>
                <w:szCs w:val="21"/>
              </w:rPr>
            </w:pPr>
            <w:r>
              <w:rPr>
                <w:rFonts w:ascii="Times New Roman" w:hAnsi="Times New Roman" w:eastAsia="宋体" w:cs="Times New Roman"/>
                <w:szCs w:val="21"/>
              </w:rPr>
              <w:t>2.Ljungqvist, Lars and Thomas J. Sargent (2004), Recursive Macroeconomic Theory, MIT Press (2e).</w:t>
            </w:r>
          </w:p>
          <w:p>
            <w:pPr>
              <w:spacing w:line="400" w:lineRule="exact"/>
              <w:rPr>
                <w:rFonts w:ascii="Times New Roman" w:hAnsi="Times New Roman" w:eastAsia="宋体" w:cs="Times New Roman"/>
                <w:szCs w:val="21"/>
              </w:rPr>
            </w:pPr>
            <w:r>
              <w:rPr>
                <w:rFonts w:ascii="Times New Roman" w:hAnsi="Times New Roman" w:eastAsia="宋体" w:cs="Times New Roman"/>
                <w:szCs w:val="21"/>
              </w:rPr>
              <w:t>3.Oliver Jean Blanchard and Stanley，Fischer (1993), Lectures On Macroeconomics, MIT Press.</w:t>
            </w:r>
          </w:p>
          <w:p>
            <w:pPr>
              <w:spacing w:line="400" w:lineRule="exact"/>
              <w:rPr>
                <w:rFonts w:ascii="Times New Roman" w:hAnsi="Times New Roman" w:eastAsia="宋体" w:cs="Times New Roman"/>
                <w:szCs w:val="21"/>
              </w:rPr>
            </w:pPr>
            <w:r>
              <w:rPr>
                <w:rFonts w:ascii="Times New Roman" w:hAnsi="Times New Roman" w:eastAsia="宋体" w:cs="Times New Roman"/>
                <w:szCs w:val="21"/>
              </w:rPr>
              <w:t>4.Stokey, Nancy and Robert E. Lucas Jr., with Edward C. Prescott (1989), Recursive Methods in Economic Dynamics, Harvard University Press.</w:t>
            </w:r>
          </w:p>
          <w:p>
            <w:pPr>
              <w:spacing w:line="400" w:lineRule="exact"/>
              <w:rPr>
                <w:rFonts w:ascii="Times New Roman" w:hAnsi="Times New Roman" w:eastAsia="宋体" w:cs="Times New Roman"/>
                <w:szCs w:val="21"/>
              </w:rPr>
            </w:pPr>
            <w:r>
              <w:rPr>
                <w:rFonts w:ascii="Times New Roman" w:hAnsi="Times New Roman" w:eastAsia="宋体" w:cs="Times New Roman"/>
                <w:szCs w:val="21"/>
              </w:rPr>
              <w:t>5.自编讲义《高级宏观经济学》，陈体标，未出版</w:t>
            </w:r>
            <w:r>
              <w:rPr>
                <w:rFonts w:hint="eastAsia" w:ascii="Times New Roman" w:hAnsi="Times New Roman" w:eastAsia="宋体" w:cs="Times New Roman"/>
                <w:szCs w:val="21"/>
              </w:rPr>
              <w:t>。</w:t>
            </w:r>
          </w:p>
          <w:p>
            <w:pPr>
              <w:spacing w:line="400" w:lineRule="exact"/>
              <w:rPr>
                <w:rFonts w:ascii="Times New Roman" w:hAnsi="Times New Roman" w:eastAsia="宋体" w:cs="Times New Roman"/>
                <w:szCs w:val="21"/>
              </w:rPr>
            </w:pPr>
            <w:r>
              <w:rPr>
                <w:rFonts w:ascii="Times New Roman" w:hAnsi="Times New Roman" w:eastAsia="宋体" w:cs="Times New Roman"/>
                <w:szCs w:val="21"/>
              </w:rPr>
              <w:t>6.孔爱国. 高级宏观经济学教程.上海三联书店，2003</w:t>
            </w:r>
            <w:r>
              <w:rPr>
                <w:rFonts w:hint="eastAsia" w:ascii="Times New Roman" w:hAnsi="Times New Roman" w:eastAsia="宋体" w:cs="Times New Roman"/>
                <w:szCs w:val="21"/>
              </w:rPr>
              <w:t>年。</w:t>
            </w:r>
          </w:p>
          <w:p>
            <w:pPr>
              <w:spacing w:line="400" w:lineRule="exact"/>
              <w:rPr>
                <w:rFonts w:ascii="Times New Roman" w:hAnsi="Times New Roman" w:eastAsia="宋体" w:cs="Times New Roman"/>
                <w:szCs w:val="21"/>
              </w:rPr>
            </w:pPr>
            <w:r>
              <w:rPr>
                <w:rFonts w:ascii="Times New Roman" w:hAnsi="Times New Roman" w:eastAsia="宋体" w:cs="Times New Roman"/>
                <w:szCs w:val="21"/>
              </w:rPr>
              <w:t>7.袁志刚，宋铮. 高级宏观经济学.上海：复旦大学出版社，2001</w:t>
            </w:r>
            <w:r>
              <w:rPr>
                <w:rFonts w:hint="eastAsia" w:ascii="Times New Roman" w:hAnsi="Times New Roman" w:eastAsia="宋体" w:cs="Times New Roman"/>
                <w:szCs w:val="21"/>
              </w:rPr>
              <w:t>年。</w:t>
            </w:r>
          </w:p>
          <w:p>
            <w:pPr>
              <w:spacing w:line="400" w:lineRule="exact"/>
              <w:rPr>
                <w:rFonts w:ascii="Times New Roman" w:hAnsi="Times New Roman" w:eastAsia="宋体" w:cs="Times New Roman"/>
                <w:szCs w:val="21"/>
              </w:rPr>
            </w:pPr>
            <w:r>
              <w:rPr>
                <w:rFonts w:ascii="Times New Roman" w:hAnsi="Times New Roman" w:eastAsia="宋体" w:cs="Times New Roman"/>
                <w:szCs w:val="21"/>
              </w:rPr>
              <w:t>8.龚六堂，高级宏观经济学. 武汉大学出版社，2004</w:t>
            </w:r>
            <w:r>
              <w:rPr>
                <w:rFonts w:hint="eastAsia" w:ascii="Times New Roman" w:hAnsi="Times New Roman" w:eastAsia="宋体" w:cs="Times New Roman"/>
                <w:szCs w:val="21"/>
              </w:rPr>
              <w:t>年。</w:t>
            </w:r>
          </w:p>
          <w:p>
            <w:pPr>
              <w:spacing w:line="400" w:lineRule="exact"/>
              <w:rPr>
                <w:rFonts w:ascii="Times New Roman" w:hAnsi="Times New Roman" w:eastAsia="宋体" w:cs="Times New Roman"/>
                <w:szCs w:val="21"/>
              </w:rPr>
            </w:pPr>
            <w:r>
              <w:rPr>
                <w:rFonts w:ascii="Times New Roman" w:hAnsi="Times New Roman" w:eastAsia="宋体" w:cs="Times New Roman"/>
                <w:szCs w:val="21"/>
              </w:rPr>
              <w:t>9.庄子银，高级宏观经济学. 武汉大学出版社，2004</w:t>
            </w:r>
            <w:r>
              <w:rPr>
                <w:rFonts w:hint="eastAsia" w:ascii="Times New Roman" w:hAnsi="Times New Roman" w:eastAsia="宋体" w:cs="Times New Roman"/>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spacing w:line="400" w:lineRule="exact"/>
              <w:rPr>
                <w:rFonts w:ascii="Times New Roman" w:hAnsi="Times New Roman" w:eastAsia="宋体" w:cs="Times New Roman"/>
                <w:szCs w:val="21"/>
              </w:rPr>
            </w:pPr>
            <w:r>
              <w:rPr>
                <w:rFonts w:ascii="Times New Roman" w:hAnsi="Times New Roman" w:eastAsia="宋体" w:cs="Times New Roman"/>
                <w:szCs w:val="21"/>
              </w:rPr>
              <w:t>高级计量经济学</w:t>
            </w:r>
          </w:p>
        </w:tc>
        <w:tc>
          <w:tcPr>
            <w:tcW w:w="7138" w:type="dxa"/>
          </w:tcPr>
          <w:p>
            <w:pPr>
              <w:spacing w:line="400" w:lineRule="exact"/>
              <w:rPr>
                <w:rFonts w:ascii="Times New Roman" w:hAnsi="Times New Roman" w:eastAsia="宋体" w:cs="Times New Roman"/>
                <w:szCs w:val="21"/>
              </w:rPr>
            </w:pPr>
            <w:r>
              <w:rPr>
                <w:rFonts w:ascii="Times New Roman" w:hAnsi="Times New Roman" w:eastAsia="宋体" w:cs="Times New Roman"/>
                <w:szCs w:val="21"/>
              </w:rPr>
              <w:t>《计量经济学导论》（第四版），伍德里奇著(费剑平译)，中国人民大学出版社，2010</w:t>
            </w:r>
            <w:r>
              <w:rPr>
                <w:rFonts w:hint="eastAsia" w:ascii="Times New Roman" w:hAnsi="Times New Roman" w:eastAsia="宋体" w:cs="Times New Roman"/>
                <w:szCs w:val="21"/>
              </w:rPr>
              <w:t>年</w:t>
            </w:r>
            <w:r>
              <w:rPr>
                <w:rFonts w:ascii="Times New Roman" w:hAnsi="Times New Roman" w:eastAsia="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4" w:type="dxa"/>
            <w:vAlign w:val="center"/>
          </w:tcPr>
          <w:p>
            <w:pPr>
              <w:spacing w:line="400" w:lineRule="exact"/>
              <w:rPr>
                <w:rFonts w:ascii="Times New Roman" w:hAnsi="Times New Roman" w:eastAsia="宋体" w:cs="Times New Roman"/>
                <w:szCs w:val="21"/>
              </w:rPr>
            </w:pPr>
            <w:r>
              <w:rPr>
                <w:rFonts w:ascii="Times New Roman" w:hAnsi="Times New Roman" w:eastAsia="宋体" w:cs="Times New Roman"/>
                <w:szCs w:val="21"/>
              </w:rPr>
              <w:t>高级国际经济学</w:t>
            </w:r>
          </w:p>
        </w:tc>
        <w:tc>
          <w:tcPr>
            <w:tcW w:w="7138" w:type="dxa"/>
          </w:tcPr>
          <w:p>
            <w:pPr>
              <w:spacing w:line="400" w:lineRule="exact"/>
              <w:rPr>
                <w:rFonts w:ascii="Times New Roman" w:hAnsi="Times New Roman" w:eastAsia="宋体" w:cs="Times New Roman"/>
                <w:szCs w:val="21"/>
              </w:rPr>
            </w:pPr>
            <w:r>
              <w:rPr>
                <w:rFonts w:ascii="Times New Roman" w:hAnsi="Times New Roman" w:eastAsia="宋体" w:cs="Times New Roman"/>
                <w:szCs w:val="21"/>
              </w:rPr>
              <w:t>Feenstra, Robert C. 2004，Advanced International Trade: Theory and Evidence ,Princeton University Press , Princeton.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spacing w:line="400" w:lineRule="exact"/>
              <w:rPr>
                <w:rFonts w:ascii="Times New Roman" w:hAnsi="Times New Roman" w:eastAsia="宋体" w:cs="Times New Roman"/>
                <w:szCs w:val="21"/>
              </w:rPr>
            </w:pPr>
            <w:r>
              <w:rPr>
                <w:rFonts w:ascii="Times New Roman" w:hAnsi="Times New Roman" w:eastAsia="宋体" w:cs="Times New Roman"/>
                <w:szCs w:val="21"/>
              </w:rPr>
              <w:t>专业英语</w:t>
            </w:r>
          </w:p>
        </w:tc>
        <w:tc>
          <w:tcPr>
            <w:tcW w:w="7138" w:type="dxa"/>
          </w:tcPr>
          <w:p>
            <w:pPr>
              <w:spacing w:line="400" w:lineRule="exact"/>
              <w:rPr>
                <w:rFonts w:ascii="Times New Roman" w:hAnsi="Times New Roman" w:eastAsia="宋体" w:cs="Times New Roman"/>
                <w:szCs w:val="21"/>
              </w:rPr>
            </w:pPr>
            <w:r>
              <w:rPr>
                <w:rFonts w:ascii="Times New Roman" w:hAnsi="Times New Roman" w:eastAsia="宋体" w:cs="Times New Roman"/>
                <w:szCs w:val="21"/>
              </w:rPr>
              <w:t>1.《经济学专业英语》，宋利芳等主编，中国人民大学出版社</w:t>
            </w:r>
            <w:r>
              <w:rPr>
                <w:rFonts w:hint="eastAsia" w:ascii="Times New Roman" w:hAnsi="Times New Roman" w:eastAsia="宋体" w:cs="Times New Roman"/>
                <w:szCs w:val="21"/>
              </w:rPr>
              <w:t>。</w:t>
            </w:r>
          </w:p>
          <w:p>
            <w:pPr>
              <w:spacing w:line="400" w:lineRule="exact"/>
              <w:rPr>
                <w:rFonts w:ascii="Times New Roman" w:hAnsi="Times New Roman" w:eastAsia="宋体" w:cs="Times New Roman"/>
                <w:szCs w:val="21"/>
              </w:rPr>
            </w:pPr>
            <w:r>
              <w:rPr>
                <w:rFonts w:hint="eastAsia" w:ascii="Times New Roman" w:hAnsi="Times New Roman" w:eastAsia="宋体" w:cs="Times New Roman"/>
                <w:szCs w:val="21"/>
              </w:rPr>
              <w:t>2</w:t>
            </w:r>
            <w:r>
              <w:rPr>
                <w:rFonts w:ascii="Times New Roman" w:hAnsi="Times New Roman" w:eastAsia="宋体" w:cs="Times New Roman"/>
                <w:szCs w:val="21"/>
              </w:rPr>
              <w:t>.《Investments》, Bodie Zvi, Kane Alex and Alan J. Marcus, 8th Edition, McGraw-Hill, 2008.</w:t>
            </w:r>
          </w:p>
          <w:p>
            <w:pPr>
              <w:spacing w:line="400" w:lineRule="exact"/>
              <w:rPr>
                <w:rFonts w:ascii="Times New Roman" w:hAnsi="Times New Roman" w:eastAsia="宋体" w:cs="Times New Roman"/>
                <w:szCs w:val="21"/>
              </w:rPr>
            </w:pPr>
            <w:r>
              <w:rPr>
                <w:rFonts w:ascii="Times New Roman" w:hAnsi="Times New Roman" w:eastAsia="宋体" w:cs="Times New Roman"/>
                <w:szCs w:val="21"/>
              </w:rPr>
              <w:t>3.《经济学原理》，（美国）曼昆著，北京大学出版社，2015年。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spacing w:line="400" w:lineRule="exact"/>
              <w:rPr>
                <w:rFonts w:ascii="Times New Roman" w:hAnsi="Times New Roman" w:eastAsia="宋体" w:cs="Times New Roman"/>
                <w:szCs w:val="21"/>
              </w:rPr>
            </w:pPr>
            <w:r>
              <w:rPr>
                <w:rFonts w:ascii="Times New Roman" w:hAnsi="Times New Roman" w:eastAsia="宋体" w:cs="Times New Roman"/>
                <w:szCs w:val="21"/>
              </w:rPr>
              <w:t>高级货币金融学</w:t>
            </w:r>
          </w:p>
        </w:tc>
        <w:tc>
          <w:tcPr>
            <w:tcW w:w="7138" w:type="dxa"/>
            <w:vAlign w:val="center"/>
          </w:tcPr>
          <w:p>
            <w:pPr>
              <w:spacing w:line="400" w:lineRule="exact"/>
              <w:rPr>
                <w:rFonts w:ascii="Times New Roman" w:hAnsi="Times New Roman" w:eastAsia="宋体" w:cs="Times New Roman"/>
                <w:szCs w:val="21"/>
              </w:rPr>
            </w:pPr>
            <w:r>
              <w:rPr>
                <w:rFonts w:ascii="Times New Roman" w:hAnsi="Times New Roman" w:eastAsia="宋体" w:cs="Times New Roman"/>
                <w:szCs w:val="21"/>
              </w:rPr>
              <w:t>黄泽民</w:t>
            </w:r>
            <w:r>
              <w:rPr>
                <w:rFonts w:hint="eastAsia" w:ascii="Times New Roman" w:hAnsi="Times New Roman" w:eastAsia="宋体" w:cs="Times New Roman"/>
                <w:szCs w:val="21"/>
              </w:rPr>
              <w:t>，</w:t>
            </w:r>
            <w:r>
              <w:rPr>
                <w:rFonts w:ascii="Times New Roman" w:hAnsi="Times New Roman" w:eastAsia="宋体" w:cs="Times New Roman"/>
                <w:szCs w:val="21"/>
              </w:rPr>
              <w:t>《货币金融学》（第二版），立信会计出版社，2010年</w:t>
            </w:r>
            <w:r>
              <w:rPr>
                <w:rFonts w:hint="eastAsia" w:ascii="Times New Roman" w:hAnsi="Times New Roman" w:eastAsia="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spacing w:line="400" w:lineRule="exact"/>
              <w:rPr>
                <w:rFonts w:ascii="Times New Roman" w:hAnsi="Times New Roman" w:eastAsia="宋体" w:cs="Times New Roman"/>
                <w:szCs w:val="21"/>
              </w:rPr>
            </w:pPr>
            <w:r>
              <w:rPr>
                <w:rFonts w:ascii="Times New Roman" w:hAnsi="Times New Roman" w:eastAsia="宋体" w:cs="Times New Roman"/>
                <w:szCs w:val="21"/>
              </w:rPr>
              <w:t>高级产业经济学</w:t>
            </w:r>
          </w:p>
        </w:tc>
        <w:tc>
          <w:tcPr>
            <w:tcW w:w="7138" w:type="dxa"/>
            <w:vAlign w:val="center"/>
          </w:tcPr>
          <w:p>
            <w:pPr>
              <w:spacing w:line="400" w:lineRule="exact"/>
              <w:rPr>
                <w:rFonts w:ascii="Times New Roman" w:hAnsi="Times New Roman" w:eastAsia="宋体" w:cs="Times New Roman"/>
                <w:szCs w:val="21"/>
              </w:rPr>
            </w:pPr>
            <w:r>
              <w:rPr>
                <w:rFonts w:hint="eastAsia" w:ascii="Times New Roman" w:hAnsi="Times New Roman" w:eastAsia="宋体" w:cs="Times New Roman"/>
                <w:szCs w:val="21"/>
              </w:rPr>
              <w:t>刘志彪，现代产业经济学，高等教育出版社，2009年版。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spacing w:line="400" w:lineRule="exact"/>
              <w:rPr>
                <w:rFonts w:ascii="Times New Roman" w:hAnsi="Times New Roman" w:eastAsia="宋体" w:cs="Times New Roman"/>
                <w:szCs w:val="21"/>
              </w:rPr>
            </w:pPr>
            <w:r>
              <w:rPr>
                <w:rFonts w:ascii="Times New Roman" w:hAnsi="Times New Roman" w:eastAsia="宋体" w:cs="Times New Roman"/>
                <w:szCs w:val="21"/>
              </w:rPr>
              <w:t>国际贸易前沿专题</w:t>
            </w:r>
          </w:p>
        </w:tc>
        <w:tc>
          <w:tcPr>
            <w:tcW w:w="7138" w:type="dxa"/>
          </w:tcPr>
          <w:p>
            <w:pPr>
              <w:spacing w:line="400" w:lineRule="exact"/>
              <w:rPr>
                <w:rFonts w:ascii="Times New Roman" w:hAnsi="Times New Roman" w:eastAsia="宋体" w:cs="Times New Roman"/>
                <w:szCs w:val="21"/>
              </w:rPr>
            </w:pPr>
            <w:r>
              <w:rPr>
                <w:rFonts w:ascii="Times New Roman" w:hAnsi="Times New Roman" w:eastAsia="宋体" w:cs="Times New Roman"/>
                <w:szCs w:val="21"/>
              </w:rPr>
              <w:t xml:space="preserve">1.Robert Feenstra. 2004. Advanced International Trade: Theory and Evidence. Princeton Press. </w:t>
            </w:r>
          </w:p>
          <w:p>
            <w:pPr>
              <w:spacing w:line="400" w:lineRule="exact"/>
              <w:rPr>
                <w:rFonts w:ascii="Times New Roman" w:hAnsi="Times New Roman" w:eastAsia="宋体" w:cs="Times New Roman"/>
                <w:szCs w:val="21"/>
              </w:rPr>
            </w:pPr>
            <w:r>
              <w:rPr>
                <w:rFonts w:ascii="Times New Roman" w:hAnsi="Times New Roman" w:eastAsia="宋体" w:cs="Times New Roman"/>
                <w:szCs w:val="21"/>
              </w:rPr>
              <w:t xml:space="preserve">2.Gopinath, G, A. Helpman, and K. Rogoff (eds), 2014. Handbook of International Economics, Vol. 4, North-Holland. </w:t>
            </w:r>
          </w:p>
          <w:p>
            <w:pPr>
              <w:spacing w:line="400" w:lineRule="exact"/>
              <w:rPr>
                <w:rFonts w:ascii="Times New Roman" w:hAnsi="Times New Roman" w:eastAsia="宋体" w:cs="Times New Roman"/>
                <w:szCs w:val="21"/>
              </w:rPr>
            </w:pPr>
            <w:r>
              <w:rPr>
                <w:rFonts w:ascii="Times New Roman" w:hAnsi="Times New Roman" w:eastAsia="宋体" w:cs="Times New Roman"/>
                <w:szCs w:val="21"/>
              </w:rPr>
              <w:t>3.《国际服务贸易学》，程大中 著，复旦大学出版社。</w:t>
            </w:r>
          </w:p>
        </w:tc>
      </w:tr>
    </w:tbl>
    <w:p>
      <w:pPr>
        <w:spacing w:before="240"/>
        <w:ind w:firstLine="420" w:firstLineChars="200"/>
        <w:rPr>
          <w:rFonts w:ascii="Times New Roman" w:hAnsi="Times New Roman" w:cs="Times New Roman"/>
          <w:szCs w:val="21"/>
        </w:rPr>
      </w:pPr>
    </w:p>
    <w:p>
      <w:pPr>
        <w:spacing w:before="156" w:beforeLines="50" w:after="156" w:afterLines="50"/>
        <w:ind w:left="420"/>
        <w:rPr>
          <w:rFonts w:ascii="Times New Roman" w:hAnsi="Times New Roman" w:eastAsia="黑体" w:cs="Times New Roman"/>
          <w:sz w:val="24"/>
          <w:szCs w:val="24"/>
        </w:rPr>
      </w:pPr>
      <w:r>
        <w:rPr>
          <w:rFonts w:ascii="Times New Roman" w:hAnsi="Times New Roman" w:eastAsia="黑体" w:cs="Times New Roman"/>
          <w:sz w:val="24"/>
          <w:szCs w:val="24"/>
        </w:rPr>
        <w:t>十一、基本文献阅读书目</w:t>
      </w:r>
    </w:p>
    <w:p>
      <w:pPr>
        <w:ind w:firstLine="420" w:firstLineChars="200"/>
        <w:rPr>
          <w:rFonts w:ascii="Times New Roman" w:hAnsi="Times New Roman" w:cs="Times New Roman"/>
          <w:szCs w:val="21"/>
        </w:rPr>
      </w:pPr>
      <w:r>
        <w:rPr>
          <w:rFonts w:ascii="Times New Roman" w:hAnsi="Times New Roman" w:cs="Times New Roman"/>
          <w:szCs w:val="21"/>
        </w:rPr>
        <w:t>1.《微观经济学（高级教程）》</w:t>
      </w:r>
      <w:r>
        <w:rPr>
          <w:rFonts w:hint="eastAsia" w:ascii="Times New Roman" w:hAnsi="Times New Roman" w:cs="Times New Roman"/>
          <w:szCs w:val="21"/>
        </w:rPr>
        <w:t>（第三版）</w:t>
      </w:r>
      <w:r>
        <w:rPr>
          <w:rFonts w:ascii="Times New Roman" w:hAnsi="Times New Roman" w:cs="Times New Roman"/>
          <w:szCs w:val="21"/>
        </w:rPr>
        <w:t>，Hal R. Varian，经济科学出版社，2002年。</w:t>
      </w:r>
    </w:p>
    <w:p>
      <w:pPr>
        <w:ind w:firstLine="420" w:firstLineChars="200"/>
        <w:rPr>
          <w:rFonts w:ascii="Times New Roman" w:hAnsi="Times New Roman" w:cs="Times New Roman"/>
          <w:szCs w:val="21"/>
        </w:rPr>
      </w:pPr>
      <w:r>
        <w:rPr>
          <w:rFonts w:ascii="Times New Roman" w:hAnsi="Times New Roman" w:cs="Times New Roman"/>
          <w:szCs w:val="21"/>
        </w:rPr>
        <w:t>2.《全球视角的宏观经济学》，萨克斯，上海人民出版社、上海三联书店，2004年。</w:t>
      </w:r>
    </w:p>
    <w:p>
      <w:pPr>
        <w:ind w:firstLine="420" w:firstLineChars="200"/>
        <w:rPr>
          <w:rFonts w:ascii="Times New Roman" w:hAnsi="Times New Roman" w:cs="Times New Roman"/>
          <w:szCs w:val="21"/>
        </w:rPr>
      </w:pPr>
      <w:r>
        <w:rPr>
          <w:rFonts w:ascii="Times New Roman" w:hAnsi="Times New Roman" w:cs="Times New Roman"/>
          <w:szCs w:val="21"/>
        </w:rPr>
        <w:t>3.《高级微观经济学》（第一版）</w:t>
      </w:r>
      <w:r>
        <w:rPr>
          <w:rFonts w:hint="eastAsia" w:ascii="Times New Roman" w:hAnsi="Times New Roman" w:cs="Times New Roman"/>
          <w:szCs w:val="21"/>
        </w:rPr>
        <w:t>，</w:t>
      </w:r>
      <w:r>
        <w:rPr>
          <w:rFonts w:ascii="Times New Roman" w:hAnsi="Times New Roman" w:cs="Times New Roman"/>
          <w:szCs w:val="21"/>
        </w:rPr>
        <w:t>田国强，中国人民大学出版社，2016年。</w:t>
      </w:r>
    </w:p>
    <w:p>
      <w:pPr>
        <w:ind w:firstLine="420" w:firstLineChars="200"/>
        <w:rPr>
          <w:rFonts w:ascii="Times New Roman" w:hAnsi="Times New Roman" w:cs="Times New Roman"/>
          <w:szCs w:val="21"/>
        </w:rPr>
      </w:pPr>
      <w:r>
        <w:rPr>
          <w:rFonts w:ascii="Times New Roman" w:hAnsi="Times New Roman" w:cs="Times New Roman"/>
          <w:szCs w:val="21"/>
        </w:rPr>
        <w:t>4.《高级微观经济学教程》（第一版）</w:t>
      </w:r>
      <w:r>
        <w:rPr>
          <w:rFonts w:hint="eastAsia" w:ascii="Times New Roman" w:hAnsi="Times New Roman" w:cs="Times New Roman"/>
          <w:szCs w:val="21"/>
        </w:rPr>
        <w:t>，</w:t>
      </w:r>
      <w:r>
        <w:rPr>
          <w:rFonts w:ascii="Times New Roman" w:hAnsi="Times New Roman" w:cs="Times New Roman"/>
          <w:szCs w:val="21"/>
        </w:rPr>
        <w:t>戴维.克雷普斯，格致出版社，2017年。</w:t>
      </w:r>
    </w:p>
    <w:p>
      <w:pPr>
        <w:ind w:firstLine="420" w:firstLineChars="200"/>
        <w:rPr>
          <w:rFonts w:ascii="Times New Roman" w:hAnsi="Times New Roman" w:cs="Times New Roman"/>
          <w:szCs w:val="21"/>
        </w:rPr>
      </w:pPr>
      <w:r>
        <w:rPr>
          <w:rFonts w:ascii="Times New Roman" w:hAnsi="Times New Roman" w:cs="Times New Roman"/>
          <w:szCs w:val="21"/>
        </w:rPr>
        <w:t>5.《高级微观经济理论》（第三版）, 杰弗里.A.杰里(Geoffrey A．Jehle)、菲利普.J.瑞尼(Philip J．Reny) 中国人民大学出版社</w:t>
      </w:r>
      <w:r>
        <w:rPr>
          <w:rFonts w:hint="eastAsia" w:ascii="Times New Roman" w:hAnsi="Times New Roman" w:cs="Times New Roman"/>
          <w:szCs w:val="21"/>
        </w:rPr>
        <w:t>，</w:t>
      </w:r>
      <w:r>
        <w:rPr>
          <w:rFonts w:ascii="Times New Roman" w:hAnsi="Times New Roman" w:cs="Times New Roman"/>
          <w:szCs w:val="21"/>
        </w:rPr>
        <w:t>2012年。</w:t>
      </w:r>
    </w:p>
    <w:p>
      <w:pPr>
        <w:ind w:firstLine="420" w:firstLineChars="200"/>
        <w:rPr>
          <w:rFonts w:ascii="Times New Roman" w:hAnsi="Times New Roman" w:cs="Times New Roman"/>
          <w:szCs w:val="21"/>
        </w:rPr>
      </w:pPr>
      <w:r>
        <w:rPr>
          <w:rFonts w:ascii="Times New Roman" w:hAnsi="Times New Roman" w:cs="Times New Roman"/>
          <w:szCs w:val="21"/>
        </w:rPr>
        <w:t>6.《高级宏观经济学》</w:t>
      </w:r>
      <w:r>
        <w:rPr>
          <w:rFonts w:hint="eastAsia" w:ascii="Times New Roman" w:hAnsi="Times New Roman" w:cs="Times New Roman"/>
          <w:szCs w:val="21"/>
        </w:rPr>
        <w:t>，</w:t>
      </w:r>
      <w:r>
        <w:rPr>
          <w:rFonts w:ascii="Times New Roman" w:hAnsi="Times New Roman" w:cs="Times New Roman"/>
          <w:szCs w:val="21"/>
        </w:rPr>
        <w:t>戴维.罗默，上海财经大学出版社，2009年。</w:t>
      </w:r>
    </w:p>
    <w:p>
      <w:pPr>
        <w:ind w:firstLine="420" w:firstLineChars="200"/>
        <w:rPr>
          <w:rFonts w:ascii="Times New Roman" w:hAnsi="Times New Roman" w:cs="Times New Roman"/>
          <w:szCs w:val="21"/>
        </w:rPr>
      </w:pPr>
      <w:r>
        <w:rPr>
          <w:rFonts w:ascii="Times New Roman" w:hAnsi="Times New Roman" w:cs="Times New Roman"/>
          <w:szCs w:val="21"/>
        </w:rPr>
        <w:t>7.《宏观经济学（高级教程）》，Blanchard,O.J Fischer,S.，经济科学出版社，1998年。</w:t>
      </w:r>
    </w:p>
    <w:p>
      <w:pPr>
        <w:ind w:firstLine="420" w:firstLineChars="200"/>
        <w:rPr>
          <w:rFonts w:ascii="Times New Roman" w:hAnsi="Times New Roman" w:cs="Times New Roman"/>
          <w:szCs w:val="21"/>
        </w:rPr>
      </w:pPr>
      <w:r>
        <w:rPr>
          <w:rFonts w:ascii="Times New Roman" w:hAnsi="Times New Roman" w:cs="Times New Roman"/>
          <w:szCs w:val="21"/>
        </w:rPr>
        <w:t>8.《现代宏观经济学高级教程：分析与应用》，马克斯.格尔曼（Max Gillman）, 上海人民出版社，2012年。</w:t>
      </w:r>
    </w:p>
    <w:p>
      <w:pPr>
        <w:ind w:firstLine="420" w:firstLineChars="200"/>
        <w:rPr>
          <w:rFonts w:ascii="Times New Roman" w:hAnsi="Times New Roman" w:cs="Times New Roman"/>
          <w:szCs w:val="21"/>
        </w:rPr>
      </w:pPr>
      <w:r>
        <w:rPr>
          <w:rFonts w:ascii="Times New Roman" w:hAnsi="Times New Roman" w:cs="Times New Roman"/>
          <w:szCs w:val="21"/>
        </w:rPr>
        <w:t>9.《递归宏观经济理论》，杨奎斯特、萨金特，中国人民大学出版社，2005年。</w:t>
      </w:r>
    </w:p>
    <w:p>
      <w:pPr>
        <w:ind w:firstLine="420" w:firstLineChars="200"/>
        <w:rPr>
          <w:rFonts w:ascii="Times New Roman" w:hAnsi="Times New Roman" w:cs="Times New Roman"/>
          <w:szCs w:val="21"/>
        </w:rPr>
      </w:pPr>
      <w:r>
        <w:rPr>
          <w:rFonts w:ascii="Times New Roman" w:hAnsi="Times New Roman" w:cs="Times New Roman"/>
          <w:szCs w:val="21"/>
        </w:rPr>
        <w:t>10.《高级宏观经济学》，袁志刚、宋铮，复旦大学出版社，2010年。</w:t>
      </w:r>
    </w:p>
    <w:p>
      <w:pPr>
        <w:ind w:firstLine="420" w:firstLineChars="200"/>
        <w:rPr>
          <w:rFonts w:ascii="Times New Roman" w:hAnsi="Times New Roman" w:cs="Times New Roman"/>
          <w:szCs w:val="21"/>
        </w:rPr>
      </w:pPr>
      <w:r>
        <w:rPr>
          <w:rFonts w:ascii="Times New Roman" w:hAnsi="Times New Roman" w:cs="Times New Roman"/>
          <w:szCs w:val="21"/>
        </w:rPr>
        <w:t>11.《高级宏观经济学》，何樟勇、宋铮，高等教育出版社，2010年。</w:t>
      </w:r>
    </w:p>
    <w:p>
      <w:pPr>
        <w:ind w:firstLine="420" w:firstLineChars="200"/>
        <w:rPr>
          <w:rFonts w:ascii="Times New Roman" w:hAnsi="Times New Roman" w:cs="Times New Roman"/>
          <w:szCs w:val="21"/>
        </w:rPr>
      </w:pPr>
      <w:r>
        <w:rPr>
          <w:rFonts w:ascii="Times New Roman" w:hAnsi="Times New Roman" w:cs="Times New Roman"/>
          <w:szCs w:val="21"/>
        </w:rPr>
        <w:t>12.《国际经济学:理论与政策》</w:t>
      </w:r>
      <w:r>
        <w:rPr>
          <w:rFonts w:hint="eastAsia" w:ascii="Times New Roman" w:hAnsi="Times New Roman" w:cs="Times New Roman"/>
          <w:szCs w:val="21"/>
        </w:rPr>
        <w:t>，</w:t>
      </w:r>
      <w:r>
        <w:rPr>
          <w:rFonts w:ascii="Times New Roman" w:hAnsi="Times New Roman" w:cs="Times New Roman"/>
          <w:szCs w:val="21"/>
        </w:rPr>
        <w:t>保罗·R·克鲁格曼、茅瑞斯·奥伯斯法尔德、马克·J·梅里兹</w:t>
      </w:r>
      <w:r>
        <w:rPr>
          <w:rFonts w:hint="eastAsia" w:ascii="Times New Roman" w:hAnsi="Times New Roman" w:cs="Times New Roman"/>
          <w:szCs w:val="21"/>
        </w:rPr>
        <w:t>，</w:t>
      </w:r>
      <w:r>
        <w:rPr>
          <w:rFonts w:ascii="Times New Roman" w:hAnsi="Times New Roman" w:cs="Times New Roman"/>
          <w:szCs w:val="21"/>
        </w:rPr>
        <w:t xml:space="preserve">中国人民大学出版社，2016年。  </w:t>
      </w:r>
    </w:p>
    <w:p>
      <w:pPr>
        <w:ind w:firstLine="420" w:firstLineChars="200"/>
        <w:rPr>
          <w:rFonts w:ascii="Times New Roman" w:hAnsi="Times New Roman" w:cs="Times New Roman"/>
          <w:szCs w:val="21"/>
        </w:rPr>
      </w:pPr>
      <w:r>
        <w:rPr>
          <w:rFonts w:ascii="Times New Roman" w:hAnsi="Times New Roman" w:cs="Times New Roman"/>
          <w:szCs w:val="21"/>
        </w:rPr>
        <w:t xml:space="preserve">13.《数理金融基准分析法》，埃克哈德·普拉滕、大卫·西斯，格致出版社，2011年。 </w:t>
      </w:r>
    </w:p>
    <w:p>
      <w:pPr>
        <w:ind w:firstLine="420" w:firstLineChars="200"/>
        <w:rPr>
          <w:rFonts w:ascii="Times New Roman" w:hAnsi="Times New Roman" w:cs="Times New Roman"/>
          <w:szCs w:val="21"/>
        </w:rPr>
      </w:pPr>
      <w:r>
        <w:rPr>
          <w:rFonts w:ascii="Times New Roman" w:hAnsi="Times New Roman" w:cs="Times New Roman"/>
          <w:szCs w:val="21"/>
        </w:rPr>
        <w:t xml:space="preserve">14.《计量经济学导论:现代观点》，杰弗里·M·伍德里奇，中国人民大学出版社，2015年。 </w:t>
      </w:r>
    </w:p>
    <w:p>
      <w:pPr>
        <w:ind w:firstLine="420" w:firstLineChars="200"/>
        <w:rPr>
          <w:rFonts w:ascii="Times New Roman" w:hAnsi="Times New Roman" w:cs="Times New Roman"/>
          <w:szCs w:val="21"/>
        </w:rPr>
      </w:pPr>
      <w:r>
        <w:rPr>
          <w:rFonts w:ascii="Times New Roman" w:hAnsi="Times New Roman" w:cs="Times New Roman"/>
          <w:szCs w:val="21"/>
        </w:rPr>
        <w:t>15.《横截面与面板数据的计量经济分析》，杰弗里·M·伍德里奇，中国人民大学出版社，2016年。</w:t>
      </w:r>
    </w:p>
    <w:p>
      <w:pPr>
        <w:ind w:firstLine="420" w:firstLineChars="200"/>
        <w:rPr>
          <w:rFonts w:ascii="Times New Roman" w:hAnsi="Times New Roman" w:cs="Times New Roman"/>
          <w:szCs w:val="21"/>
        </w:rPr>
      </w:pPr>
      <w:r>
        <w:rPr>
          <w:rFonts w:ascii="Times New Roman" w:hAnsi="Times New Roman" w:cs="Times New Roman"/>
          <w:szCs w:val="21"/>
        </w:rPr>
        <w:t>16.《现代产业组织（第四版）》，丹尼斯·W·卡尔顿等，中国人民大学出版社，2009年。</w:t>
      </w:r>
    </w:p>
    <w:p>
      <w:pPr>
        <w:ind w:firstLine="420" w:firstLineChars="200"/>
        <w:rPr>
          <w:rFonts w:ascii="Times New Roman" w:hAnsi="Times New Roman" w:cs="Times New Roman"/>
          <w:szCs w:val="21"/>
        </w:rPr>
      </w:pPr>
      <w:r>
        <w:rPr>
          <w:rFonts w:ascii="Times New Roman" w:hAnsi="Times New Roman" w:cs="Times New Roman"/>
          <w:szCs w:val="21"/>
        </w:rPr>
        <w:t>17.《产业组织：现代理论与实践（第四版）》，林恩·佩波尔&amp;丹·理查兹&amp;乔治·诺曼，中国人民大学出版社，2014年。</w:t>
      </w:r>
    </w:p>
    <w:p>
      <w:pPr>
        <w:ind w:firstLine="420" w:firstLineChars="200"/>
        <w:rPr>
          <w:rFonts w:ascii="Times New Roman" w:hAnsi="Times New Roman" w:cs="Times New Roman"/>
          <w:szCs w:val="21"/>
        </w:rPr>
      </w:pPr>
      <w:r>
        <w:rPr>
          <w:rFonts w:ascii="Times New Roman" w:hAnsi="Times New Roman" w:cs="Times New Roman"/>
          <w:szCs w:val="21"/>
        </w:rPr>
        <w:t>18.《产业组织理论》，让·梯若尔，中国人民大学出版社，2015年。</w:t>
      </w:r>
    </w:p>
    <w:p>
      <w:pPr>
        <w:ind w:firstLine="420" w:firstLineChars="200"/>
        <w:rPr>
          <w:rFonts w:ascii="Times New Roman" w:hAnsi="Times New Roman" w:cs="Times New Roman"/>
          <w:szCs w:val="21"/>
        </w:rPr>
      </w:pPr>
      <w:r>
        <w:rPr>
          <w:rFonts w:ascii="Times New Roman" w:hAnsi="Times New Roman" w:cs="Times New Roman"/>
          <w:szCs w:val="21"/>
        </w:rPr>
        <w:t>19.《产业经济学（第四版）》，苏东水，高等教育出版社，2015年。</w:t>
      </w:r>
    </w:p>
    <w:p>
      <w:pPr>
        <w:ind w:firstLine="420" w:firstLineChars="200"/>
        <w:rPr>
          <w:rFonts w:ascii="Times New Roman" w:hAnsi="Times New Roman" w:cs="Times New Roman"/>
          <w:szCs w:val="21"/>
        </w:rPr>
      </w:pPr>
      <w:r>
        <w:rPr>
          <w:rFonts w:ascii="Times New Roman" w:hAnsi="Times New Roman" w:cs="Times New Roman"/>
          <w:szCs w:val="21"/>
        </w:rPr>
        <w:t>20.《产业组织导论（第二版）》，刘易斯·J.B.卡布罗、刘勇，上海财经大学出版社，2019年。</w:t>
      </w:r>
    </w:p>
    <w:p>
      <w:pPr>
        <w:ind w:firstLine="420" w:firstLineChars="200"/>
        <w:rPr>
          <w:rFonts w:ascii="Times New Roman" w:hAnsi="Times New Roman" w:cs="Times New Roman"/>
          <w:szCs w:val="21"/>
        </w:rPr>
      </w:pPr>
      <w:r>
        <w:rPr>
          <w:rFonts w:ascii="Times New Roman" w:hAnsi="Times New Roman" w:cs="Times New Roman"/>
          <w:szCs w:val="21"/>
        </w:rPr>
        <w:t>21.《集聚经济学：城市、产业区位与全球化（第二版）》，（日）藤田昌久、（比）雅克-弗朗斯瓦蒂斯，格致出版社，2016年。</w:t>
      </w:r>
    </w:p>
    <w:p>
      <w:pPr>
        <w:ind w:firstLine="420" w:firstLineChars="200"/>
        <w:rPr>
          <w:rFonts w:ascii="Times New Roman" w:hAnsi="Times New Roman" w:cs="Times New Roman"/>
          <w:szCs w:val="21"/>
        </w:rPr>
      </w:pPr>
      <w:r>
        <w:rPr>
          <w:rFonts w:ascii="Times New Roman" w:hAnsi="Times New Roman" w:cs="Times New Roman"/>
          <w:szCs w:val="21"/>
        </w:rPr>
        <w:t>22.《空间经济学——城市、区域与国际贸易》，（日）藤田昌久、保罗·克鲁格曼，中国人民大学出版社，2013年。</w:t>
      </w:r>
    </w:p>
    <w:p>
      <w:pPr>
        <w:ind w:firstLine="420" w:firstLineChars="200"/>
        <w:rPr>
          <w:rFonts w:ascii="Times New Roman" w:hAnsi="Times New Roman" w:cs="Times New Roman"/>
          <w:szCs w:val="21"/>
        </w:rPr>
      </w:pPr>
      <w:r>
        <w:rPr>
          <w:rFonts w:ascii="Times New Roman" w:hAnsi="Times New Roman" w:cs="Times New Roman"/>
          <w:szCs w:val="21"/>
        </w:rPr>
        <w:t>23.《城市经济学（第八版）》，</w:t>
      </w:r>
      <w:r>
        <w:rPr>
          <w:rFonts w:hint="eastAsia" w:ascii="Times New Roman" w:hAnsi="Times New Roman" w:cs="Times New Roman"/>
          <w:szCs w:val="21"/>
        </w:rPr>
        <w:t>（</w:t>
      </w:r>
      <w:r>
        <w:rPr>
          <w:rFonts w:ascii="Times New Roman" w:hAnsi="Times New Roman" w:cs="Times New Roman"/>
          <w:szCs w:val="21"/>
        </w:rPr>
        <w:t>美</w:t>
      </w:r>
      <w:r>
        <w:rPr>
          <w:rFonts w:hint="eastAsia" w:ascii="Times New Roman" w:hAnsi="Times New Roman" w:cs="Times New Roman"/>
          <w:szCs w:val="21"/>
        </w:rPr>
        <w:t>）</w:t>
      </w:r>
      <w:r>
        <w:rPr>
          <w:rFonts w:ascii="Times New Roman" w:hAnsi="Times New Roman" w:cs="Times New Roman"/>
          <w:szCs w:val="21"/>
        </w:rPr>
        <w:t>奥沙利文，北京大学出版社，2015年。</w:t>
      </w:r>
    </w:p>
    <w:p>
      <w:pPr>
        <w:ind w:firstLine="420" w:firstLineChars="200"/>
        <w:rPr>
          <w:rFonts w:ascii="Times New Roman" w:hAnsi="Times New Roman" w:cs="Times New Roman"/>
          <w:szCs w:val="21"/>
        </w:rPr>
      </w:pPr>
      <w:r>
        <w:rPr>
          <w:rFonts w:ascii="Times New Roman" w:hAnsi="Times New Roman" w:cs="Times New Roman"/>
          <w:szCs w:val="21"/>
        </w:rPr>
        <w:t>24.《区域经济学（第三版）》，郝寿义&amp;安虎森，经济科学出版社，2015年。</w:t>
      </w:r>
    </w:p>
    <w:p>
      <w:pPr>
        <w:ind w:firstLine="420" w:firstLineChars="200"/>
        <w:rPr>
          <w:rFonts w:ascii="Times New Roman" w:hAnsi="Times New Roman" w:cs="Times New Roman"/>
          <w:szCs w:val="21"/>
        </w:rPr>
      </w:pPr>
      <w:r>
        <w:rPr>
          <w:rFonts w:ascii="Times New Roman" w:hAnsi="Times New Roman" w:cs="Times New Roman"/>
          <w:szCs w:val="21"/>
        </w:rPr>
        <w:t>25.《经济地理学：区域和国家一体化》，库姆斯等，中国人民大学出版社，2011年。</w:t>
      </w:r>
    </w:p>
    <w:p>
      <w:pPr>
        <w:ind w:firstLine="480" w:firstLineChars="200"/>
        <w:rPr>
          <w:rFonts w:ascii="Times New Roman" w:hAnsi="Times New Roman" w:eastAsia="黑体" w:cs="Times New Roman"/>
          <w:sz w:val="24"/>
          <w:szCs w:val="24"/>
        </w:rPr>
      </w:pPr>
    </w:p>
    <w:sectPr>
      <w:pgSz w:w="11906" w:h="16838"/>
      <w:pgMar w:top="1440" w:right="1021" w:bottom="1440" w:left="102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libri Light">
    <w:panose1 w:val="020F0302020204030204"/>
    <w:charset w:val="00"/>
    <w:family w:val="swiss"/>
    <w:pitch w:val="default"/>
    <w:sig w:usb0="E4002EFF" w:usb1="C000247B" w:usb2="00000009" w:usb3="00000000" w:csb0="200001FF" w:csb1="00000000"/>
  </w:font>
  <w:font w:name="华文楷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E5F4A"/>
    <w:rsid w:val="000005FA"/>
    <w:rsid w:val="00001756"/>
    <w:rsid w:val="00013FD8"/>
    <w:rsid w:val="00020479"/>
    <w:rsid w:val="00025618"/>
    <w:rsid w:val="00027E6F"/>
    <w:rsid w:val="000363B6"/>
    <w:rsid w:val="000365B6"/>
    <w:rsid w:val="00036647"/>
    <w:rsid w:val="00043436"/>
    <w:rsid w:val="000446E6"/>
    <w:rsid w:val="00047BBA"/>
    <w:rsid w:val="00052286"/>
    <w:rsid w:val="000615A4"/>
    <w:rsid w:val="00072580"/>
    <w:rsid w:val="000854DE"/>
    <w:rsid w:val="00086B54"/>
    <w:rsid w:val="00087263"/>
    <w:rsid w:val="0008779A"/>
    <w:rsid w:val="000957FA"/>
    <w:rsid w:val="00096BE2"/>
    <w:rsid w:val="000B3536"/>
    <w:rsid w:val="000B7229"/>
    <w:rsid w:val="000C01C3"/>
    <w:rsid w:val="000C7C2E"/>
    <w:rsid w:val="000D0B0B"/>
    <w:rsid w:val="000D74E7"/>
    <w:rsid w:val="000D7AC7"/>
    <w:rsid w:val="000E002A"/>
    <w:rsid w:val="000E18C1"/>
    <w:rsid w:val="000E280C"/>
    <w:rsid w:val="000E3724"/>
    <w:rsid w:val="00101B84"/>
    <w:rsid w:val="001042F5"/>
    <w:rsid w:val="00106A3E"/>
    <w:rsid w:val="00112532"/>
    <w:rsid w:val="00113BAC"/>
    <w:rsid w:val="001142B3"/>
    <w:rsid w:val="001272F2"/>
    <w:rsid w:val="001321E3"/>
    <w:rsid w:val="001358D5"/>
    <w:rsid w:val="0014125F"/>
    <w:rsid w:val="00144F7C"/>
    <w:rsid w:val="00147E24"/>
    <w:rsid w:val="001534D2"/>
    <w:rsid w:val="00155F8E"/>
    <w:rsid w:val="00160737"/>
    <w:rsid w:val="00160DC6"/>
    <w:rsid w:val="00163915"/>
    <w:rsid w:val="001670EF"/>
    <w:rsid w:val="00167926"/>
    <w:rsid w:val="00167F71"/>
    <w:rsid w:val="001772B1"/>
    <w:rsid w:val="00182E53"/>
    <w:rsid w:val="00195556"/>
    <w:rsid w:val="001A341F"/>
    <w:rsid w:val="001A4CCA"/>
    <w:rsid w:val="001B021F"/>
    <w:rsid w:val="001B5675"/>
    <w:rsid w:val="001B6CD2"/>
    <w:rsid w:val="001C2DD7"/>
    <w:rsid w:val="001C32D8"/>
    <w:rsid w:val="001D1250"/>
    <w:rsid w:val="001D5106"/>
    <w:rsid w:val="001D70C2"/>
    <w:rsid w:val="001D7B83"/>
    <w:rsid w:val="001E24C3"/>
    <w:rsid w:val="001F1554"/>
    <w:rsid w:val="001F6A09"/>
    <w:rsid w:val="001F6FD4"/>
    <w:rsid w:val="00214D99"/>
    <w:rsid w:val="002167C8"/>
    <w:rsid w:val="00223A4E"/>
    <w:rsid w:val="00226EFE"/>
    <w:rsid w:val="00230885"/>
    <w:rsid w:val="00233F4F"/>
    <w:rsid w:val="00235A38"/>
    <w:rsid w:val="002374C4"/>
    <w:rsid w:val="00241688"/>
    <w:rsid w:val="00242C8B"/>
    <w:rsid w:val="00243367"/>
    <w:rsid w:val="00253869"/>
    <w:rsid w:val="00253F2F"/>
    <w:rsid w:val="0026288C"/>
    <w:rsid w:val="00264E7E"/>
    <w:rsid w:val="00270A23"/>
    <w:rsid w:val="002736AC"/>
    <w:rsid w:val="00273D90"/>
    <w:rsid w:val="00283576"/>
    <w:rsid w:val="00284BBB"/>
    <w:rsid w:val="00287F93"/>
    <w:rsid w:val="002900A4"/>
    <w:rsid w:val="002A1E08"/>
    <w:rsid w:val="002A448C"/>
    <w:rsid w:val="002A4803"/>
    <w:rsid w:val="002B209A"/>
    <w:rsid w:val="002B29DF"/>
    <w:rsid w:val="002B34F6"/>
    <w:rsid w:val="002B794F"/>
    <w:rsid w:val="002C6509"/>
    <w:rsid w:val="002D3968"/>
    <w:rsid w:val="002E1498"/>
    <w:rsid w:val="002E7F07"/>
    <w:rsid w:val="002F0D97"/>
    <w:rsid w:val="003125AC"/>
    <w:rsid w:val="00315291"/>
    <w:rsid w:val="00315CBD"/>
    <w:rsid w:val="00320671"/>
    <w:rsid w:val="0032321A"/>
    <w:rsid w:val="00327BEB"/>
    <w:rsid w:val="0033226A"/>
    <w:rsid w:val="00337779"/>
    <w:rsid w:val="0034161B"/>
    <w:rsid w:val="00344466"/>
    <w:rsid w:val="003467DE"/>
    <w:rsid w:val="003512F5"/>
    <w:rsid w:val="0035203A"/>
    <w:rsid w:val="00352D17"/>
    <w:rsid w:val="003605C4"/>
    <w:rsid w:val="00362C41"/>
    <w:rsid w:val="00363A25"/>
    <w:rsid w:val="0036663E"/>
    <w:rsid w:val="003712C2"/>
    <w:rsid w:val="00372274"/>
    <w:rsid w:val="00372E8C"/>
    <w:rsid w:val="00375E0C"/>
    <w:rsid w:val="003800E8"/>
    <w:rsid w:val="003809D1"/>
    <w:rsid w:val="003820E7"/>
    <w:rsid w:val="003824E5"/>
    <w:rsid w:val="003874AD"/>
    <w:rsid w:val="00390E76"/>
    <w:rsid w:val="00393B75"/>
    <w:rsid w:val="003941B5"/>
    <w:rsid w:val="003A02E1"/>
    <w:rsid w:val="003A12BC"/>
    <w:rsid w:val="003A1E4D"/>
    <w:rsid w:val="003A2749"/>
    <w:rsid w:val="003A2C92"/>
    <w:rsid w:val="003A7D69"/>
    <w:rsid w:val="003B2DE8"/>
    <w:rsid w:val="003B3350"/>
    <w:rsid w:val="003B3954"/>
    <w:rsid w:val="003B6B91"/>
    <w:rsid w:val="003C2748"/>
    <w:rsid w:val="003C2898"/>
    <w:rsid w:val="003D3C60"/>
    <w:rsid w:val="003E039F"/>
    <w:rsid w:val="003E20C6"/>
    <w:rsid w:val="003E2359"/>
    <w:rsid w:val="003F378F"/>
    <w:rsid w:val="003F6B11"/>
    <w:rsid w:val="00401E38"/>
    <w:rsid w:val="004026DD"/>
    <w:rsid w:val="004035D6"/>
    <w:rsid w:val="00407885"/>
    <w:rsid w:val="0041139F"/>
    <w:rsid w:val="004128A6"/>
    <w:rsid w:val="00417C0F"/>
    <w:rsid w:val="00424684"/>
    <w:rsid w:val="00435D1C"/>
    <w:rsid w:val="00437E29"/>
    <w:rsid w:val="00440921"/>
    <w:rsid w:val="004435CA"/>
    <w:rsid w:val="00444E40"/>
    <w:rsid w:val="0044504C"/>
    <w:rsid w:val="0044755C"/>
    <w:rsid w:val="00450678"/>
    <w:rsid w:val="00457EE7"/>
    <w:rsid w:val="00470BFA"/>
    <w:rsid w:val="00474D80"/>
    <w:rsid w:val="004853DF"/>
    <w:rsid w:val="00496DA5"/>
    <w:rsid w:val="004A0004"/>
    <w:rsid w:val="004B3FA8"/>
    <w:rsid w:val="004B70B9"/>
    <w:rsid w:val="004B7E3C"/>
    <w:rsid w:val="004F2806"/>
    <w:rsid w:val="00502D30"/>
    <w:rsid w:val="00524C67"/>
    <w:rsid w:val="005253F6"/>
    <w:rsid w:val="005349BB"/>
    <w:rsid w:val="00540DF9"/>
    <w:rsid w:val="00542A9A"/>
    <w:rsid w:val="00545F66"/>
    <w:rsid w:val="005510E4"/>
    <w:rsid w:val="005523DB"/>
    <w:rsid w:val="005654C4"/>
    <w:rsid w:val="00574BDC"/>
    <w:rsid w:val="00577078"/>
    <w:rsid w:val="00580412"/>
    <w:rsid w:val="005B64BC"/>
    <w:rsid w:val="005C1564"/>
    <w:rsid w:val="005C2D7A"/>
    <w:rsid w:val="005C2DE6"/>
    <w:rsid w:val="005D17CC"/>
    <w:rsid w:val="005D379D"/>
    <w:rsid w:val="005D651B"/>
    <w:rsid w:val="005E5133"/>
    <w:rsid w:val="005F2D87"/>
    <w:rsid w:val="005F3B62"/>
    <w:rsid w:val="005F42EA"/>
    <w:rsid w:val="005F6335"/>
    <w:rsid w:val="006018C7"/>
    <w:rsid w:val="00603330"/>
    <w:rsid w:val="006048FE"/>
    <w:rsid w:val="00611894"/>
    <w:rsid w:val="00623B4E"/>
    <w:rsid w:val="00624941"/>
    <w:rsid w:val="006332C9"/>
    <w:rsid w:val="00633509"/>
    <w:rsid w:val="006350D7"/>
    <w:rsid w:val="00652EF7"/>
    <w:rsid w:val="00657769"/>
    <w:rsid w:val="006610FE"/>
    <w:rsid w:val="00663E67"/>
    <w:rsid w:val="00664960"/>
    <w:rsid w:val="00665C5C"/>
    <w:rsid w:val="00685449"/>
    <w:rsid w:val="00695EC3"/>
    <w:rsid w:val="0069791E"/>
    <w:rsid w:val="006A39F2"/>
    <w:rsid w:val="006B2376"/>
    <w:rsid w:val="006B65DB"/>
    <w:rsid w:val="006B7E39"/>
    <w:rsid w:val="006C6A95"/>
    <w:rsid w:val="006D7A24"/>
    <w:rsid w:val="006E2FA2"/>
    <w:rsid w:val="006E4AD9"/>
    <w:rsid w:val="007121FB"/>
    <w:rsid w:val="00715179"/>
    <w:rsid w:val="0072436A"/>
    <w:rsid w:val="00724CDC"/>
    <w:rsid w:val="00725110"/>
    <w:rsid w:val="00727153"/>
    <w:rsid w:val="00735CDE"/>
    <w:rsid w:val="00736EC4"/>
    <w:rsid w:val="00740585"/>
    <w:rsid w:val="00741441"/>
    <w:rsid w:val="007416D2"/>
    <w:rsid w:val="007559C0"/>
    <w:rsid w:val="00761434"/>
    <w:rsid w:val="0076190D"/>
    <w:rsid w:val="007638F1"/>
    <w:rsid w:val="007665E2"/>
    <w:rsid w:val="00772BE2"/>
    <w:rsid w:val="00776573"/>
    <w:rsid w:val="007873C0"/>
    <w:rsid w:val="00793D06"/>
    <w:rsid w:val="00793F88"/>
    <w:rsid w:val="00796EA2"/>
    <w:rsid w:val="007A7458"/>
    <w:rsid w:val="007B0D73"/>
    <w:rsid w:val="007B76D5"/>
    <w:rsid w:val="007C328C"/>
    <w:rsid w:val="007D0D64"/>
    <w:rsid w:val="007D3D26"/>
    <w:rsid w:val="007D4815"/>
    <w:rsid w:val="007E0EEA"/>
    <w:rsid w:val="007E1597"/>
    <w:rsid w:val="007F1C51"/>
    <w:rsid w:val="007F3BDD"/>
    <w:rsid w:val="007F565F"/>
    <w:rsid w:val="007F7193"/>
    <w:rsid w:val="00807958"/>
    <w:rsid w:val="0081366A"/>
    <w:rsid w:val="0081595C"/>
    <w:rsid w:val="00820D96"/>
    <w:rsid w:val="008239AC"/>
    <w:rsid w:val="00823B04"/>
    <w:rsid w:val="00826B78"/>
    <w:rsid w:val="00826BFF"/>
    <w:rsid w:val="0083551F"/>
    <w:rsid w:val="00853B09"/>
    <w:rsid w:val="008546BE"/>
    <w:rsid w:val="0085716B"/>
    <w:rsid w:val="00860EB7"/>
    <w:rsid w:val="00862090"/>
    <w:rsid w:val="00871D6D"/>
    <w:rsid w:val="00875A41"/>
    <w:rsid w:val="00877E00"/>
    <w:rsid w:val="00880F1C"/>
    <w:rsid w:val="00881475"/>
    <w:rsid w:val="00882C12"/>
    <w:rsid w:val="00893D73"/>
    <w:rsid w:val="00895B3E"/>
    <w:rsid w:val="008A4DE1"/>
    <w:rsid w:val="008B0A0C"/>
    <w:rsid w:val="008B5780"/>
    <w:rsid w:val="008B6CAF"/>
    <w:rsid w:val="008C46B9"/>
    <w:rsid w:val="008D69F0"/>
    <w:rsid w:val="008D6BE2"/>
    <w:rsid w:val="008E1F9E"/>
    <w:rsid w:val="008E2FF7"/>
    <w:rsid w:val="008F3F20"/>
    <w:rsid w:val="009140AE"/>
    <w:rsid w:val="00924157"/>
    <w:rsid w:val="00930603"/>
    <w:rsid w:val="009364FF"/>
    <w:rsid w:val="0094177A"/>
    <w:rsid w:val="009475EE"/>
    <w:rsid w:val="00961A81"/>
    <w:rsid w:val="00962434"/>
    <w:rsid w:val="0097387E"/>
    <w:rsid w:val="00977E15"/>
    <w:rsid w:val="00990157"/>
    <w:rsid w:val="009A68E4"/>
    <w:rsid w:val="009B5870"/>
    <w:rsid w:val="009B6A07"/>
    <w:rsid w:val="009C0407"/>
    <w:rsid w:val="009C0A14"/>
    <w:rsid w:val="009C3467"/>
    <w:rsid w:val="009D28EB"/>
    <w:rsid w:val="009E312F"/>
    <w:rsid w:val="009E6D9E"/>
    <w:rsid w:val="009F63DC"/>
    <w:rsid w:val="00A11884"/>
    <w:rsid w:val="00A2157F"/>
    <w:rsid w:val="00A261BB"/>
    <w:rsid w:val="00A35702"/>
    <w:rsid w:val="00A40745"/>
    <w:rsid w:val="00A43558"/>
    <w:rsid w:val="00A567AA"/>
    <w:rsid w:val="00A577A1"/>
    <w:rsid w:val="00A70B14"/>
    <w:rsid w:val="00A739C2"/>
    <w:rsid w:val="00A81D6B"/>
    <w:rsid w:val="00A824F3"/>
    <w:rsid w:val="00A95AE5"/>
    <w:rsid w:val="00AA7EEB"/>
    <w:rsid w:val="00AC3122"/>
    <w:rsid w:val="00AD4909"/>
    <w:rsid w:val="00AD6E8D"/>
    <w:rsid w:val="00AE23BE"/>
    <w:rsid w:val="00AF5B00"/>
    <w:rsid w:val="00AF7B0B"/>
    <w:rsid w:val="00B00512"/>
    <w:rsid w:val="00B026EC"/>
    <w:rsid w:val="00B13C2D"/>
    <w:rsid w:val="00B20626"/>
    <w:rsid w:val="00B357BA"/>
    <w:rsid w:val="00B3697A"/>
    <w:rsid w:val="00B37AFC"/>
    <w:rsid w:val="00B514B1"/>
    <w:rsid w:val="00B54904"/>
    <w:rsid w:val="00B606AE"/>
    <w:rsid w:val="00B82817"/>
    <w:rsid w:val="00B85955"/>
    <w:rsid w:val="00B91890"/>
    <w:rsid w:val="00B933C4"/>
    <w:rsid w:val="00B95172"/>
    <w:rsid w:val="00BA64CB"/>
    <w:rsid w:val="00BA6BF2"/>
    <w:rsid w:val="00BB0BC7"/>
    <w:rsid w:val="00BC024C"/>
    <w:rsid w:val="00BC1D60"/>
    <w:rsid w:val="00BC1E20"/>
    <w:rsid w:val="00BC4790"/>
    <w:rsid w:val="00BD077B"/>
    <w:rsid w:val="00BE5F4A"/>
    <w:rsid w:val="00BE649C"/>
    <w:rsid w:val="00BF27D0"/>
    <w:rsid w:val="00C068C9"/>
    <w:rsid w:val="00C070E2"/>
    <w:rsid w:val="00C11130"/>
    <w:rsid w:val="00C17CCD"/>
    <w:rsid w:val="00C218C6"/>
    <w:rsid w:val="00C35707"/>
    <w:rsid w:val="00C4172E"/>
    <w:rsid w:val="00C4173E"/>
    <w:rsid w:val="00C44BDA"/>
    <w:rsid w:val="00C461B2"/>
    <w:rsid w:val="00C50187"/>
    <w:rsid w:val="00C569E7"/>
    <w:rsid w:val="00C61340"/>
    <w:rsid w:val="00C64A27"/>
    <w:rsid w:val="00C67EBC"/>
    <w:rsid w:val="00C70B87"/>
    <w:rsid w:val="00C71649"/>
    <w:rsid w:val="00C71E7F"/>
    <w:rsid w:val="00C7531E"/>
    <w:rsid w:val="00C77387"/>
    <w:rsid w:val="00C83874"/>
    <w:rsid w:val="00C85C0D"/>
    <w:rsid w:val="00C86B34"/>
    <w:rsid w:val="00CA1D8D"/>
    <w:rsid w:val="00CA1F21"/>
    <w:rsid w:val="00CA2CAB"/>
    <w:rsid w:val="00CC2CCB"/>
    <w:rsid w:val="00CC44BA"/>
    <w:rsid w:val="00CD4A99"/>
    <w:rsid w:val="00CE17DE"/>
    <w:rsid w:val="00CF05ED"/>
    <w:rsid w:val="00CF07DB"/>
    <w:rsid w:val="00CF2C32"/>
    <w:rsid w:val="00CF4B8C"/>
    <w:rsid w:val="00D0298C"/>
    <w:rsid w:val="00D02CBC"/>
    <w:rsid w:val="00D074AE"/>
    <w:rsid w:val="00D16C4B"/>
    <w:rsid w:val="00D16CC2"/>
    <w:rsid w:val="00D17041"/>
    <w:rsid w:val="00D27407"/>
    <w:rsid w:val="00D30746"/>
    <w:rsid w:val="00D3075E"/>
    <w:rsid w:val="00D34F56"/>
    <w:rsid w:val="00D40987"/>
    <w:rsid w:val="00D40EC0"/>
    <w:rsid w:val="00D47C94"/>
    <w:rsid w:val="00D51234"/>
    <w:rsid w:val="00D53CB7"/>
    <w:rsid w:val="00D65B53"/>
    <w:rsid w:val="00D701C6"/>
    <w:rsid w:val="00D718DE"/>
    <w:rsid w:val="00D720B0"/>
    <w:rsid w:val="00D724FA"/>
    <w:rsid w:val="00D80BC8"/>
    <w:rsid w:val="00D83174"/>
    <w:rsid w:val="00D97187"/>
    <w:rsid w:val="00DA0562"/>
    <w:rsid w:val="00DA609F"/>
    <w:rsid w:val="00DB1BA6"/>
    <w:rsid w:val="00DB41B1"/>
    <w:rsid w:val="00DB56D6"/>
    <w:rsid w:val="00DC085D"/>
    <w:rsid w:val="00DC5E59"/>
    <w:rsid w:val="00DC7106"/>
    <w:rsid w:val="00DD119E"/>
    <w:rsid w:val="00DD257B"/>
    <w:rsid w:val="00DD38F3"/>
    <w:rsid w:val="00DE3D5C"/>
    <w:rsid w:val="00DF3E03"/>
    <w:rsid w:val="00DF4928"/>
    <w:rsid w:val="00DF5316"/>
    <w:rsid w:val="00E00185"/>
    <w:rsid w:val="00E04A67"/>
    <w:rsid w:val="00E06665"/>
    <w:rsid w:val="00E1328D"/>
    <w:rsid w:val="00E236A9"/>
    <w:rsid w:val="00E26FD0"/>
    <w:rsid w:val="00E350C0"/>
    <w:rsid w:val="00E44ED8"/>
    <w:rsid w:val="00E45BF4"/>
    <w:rsid w:val="00E6066D"/>
    <w:rsid w:val="00E64515"/>
    <w:rsid w:val="00E658AC"/>
    <w:rsid w:val="00E66602"/>
    <w:rsid w:val="00E77447"/>
    <w:rsid w:val="00E779BA"/>
    <w:rsid w:val="00E83D17"/>
    <w:rsid w:val="00E903C5"/>
    <w:rsid w:val="00E92E06"/>
    <w:rsid w:val="00E95365"/>
    <w:rsid w:val="00E97C73"/>
    <w:rsid w:val="00EB2CBF"/>
    <w:rsid w:val="00EC3F55"/>
    <w:rsid w:val="00ED65CA"/>
    <w:rsid w:val="00EE03CA"/>
    <w:rsid w:val="00EE21A7"/>
    <w:rsid w:val="00EE2FD6"/>
    <w:rsid w:val="00EE6FD9"/>
    <w:rsid w:val="00EF39C4"/>
    <w:rsid w:val="00EF4A24"/>
    <w:rsid w:val="00EF5B24"/>
    <w:rsid w:val="00F00516"/>
    <w:rsid w:val="00F01F3C"/>
    <w:rsid w:val="00F06425"/>
    <w:rsid w:val="00F12B52"/>
    <w:rsid w:val="00F13550"/>
    <w:rsid w:val="00F17824"/>
    <w:rsid w:val="00F17F0C"/>
    <w:rsid w:val="00F22B56"/>
    <w:rsid w:val="00F23D33"/>
    <w:rsid w:val="00F23EFA"/>
    <w:rsid w:val="00F3090F"/>
    <w:rsid w:val="00F33870"/>
    <w:rsid w:val="00F357F5"/>
    <w:rsid w:val="00F368A0"/>
    <w:rsid w:val="00F54FEA"/>
    <w:rsid w:val="00F5718E"/>
    <w:rsid w:val="00F57603"/>
    <w:rsid w:val="00F61E6B"/>
    <w:rsid w:val="00F62EB6"/>
    <w:rsid w:val="00F63ABE"/>
    <w:rsid w:val="00F669F9"/>
    <w:rsid w:val="00F80D03"/>
    <w:rsid w:val="00F81E16"/>
    <w:rsid w:val="00F85001"/>
    <w:rsid w:val="00F87DE6"/>
    <w:rsid w:val="00F9323F"/>
    <w:rsid w:val="00F97B91"/>
    <w:rsid w:val="00FA28EE"/>
    <w:rsid w:val="00FA379B"/>
    <w:rsid w:val="00FA4A8E"/>
    <w:rsid w:val="00FA7D22"/>
    <w:rsid w:val="00FB4B9C"/>
    <w:rsid w:val="00FB7BBB"/>
    <w:rsid w:val="00FD2326"/>
    <w:rsid w:val="04276397"/>
    <w:rsid w:val="066E71FF"/>
    <w:rsid w:val="06AB1B6A"/>
    <w:rsid w:val="0D097A64"/>
    <w:rsid w:val="19A31205"/>
    <w:rsid w:val="1CDC6334"/>
    <w:rsid w:val="21DD3F31"/>
    <w:rsid w:val="27391AC1"/>
    <w:rsid w:val="33525D84"/>
    <w:rsid w:val="43D535FF"/>
    <w:rsid w:val="45CF25CE"/>
    <w:rsid w:val="4AA67BE3"/>
    <w:rsid w:val="4C453712"/>
    <w:rsid w:val="575F4957"/>
    <w:rsid w:val="57CD25F7"/>
    <w:rsid w:val="57F0638A"/>
    <w:rsid w:val="59A73CB4"/>
    <w:rsid w:val="5E0E3CCE"/>
    <w:rsid w:val="61277B0F"/>
    <w:rsid w:val="642D503F"/>
    <w:rsid w:val="6F6420C9"/>
    <w:rsid w:val="6FBC3D72"/>
    <w:rsid w:val="79037218"/>
    <w:rsid w:val="7C8061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0"/>
    <w:pPr>
      <w:keepNext/>
      <w:jc w:val="center"/>
      <w:outlineLvl w:val="0"/>
    </w:pPr>
    <w:rPr>
      <w:rFonts w:ascii="Times New Roman" w:hAnsi="Times New Roman" w:eastAsia="宋体" w:cs="Times New Roman"/>
      <w:b/>
      <w:sz w:val="30"/>
      <w:szCs w:val="20"/>
    </w:rPr>
  </w:style>
  <w:style w:type="paragraph" w:styleId="3">
    <w:name w:val="heading 2"/>
    <w:basedOn w:val="1"/>
    <w:next w:val="1"/>
    <w:link w:val="17"/>
    <w:qFormat/>
    <w:uiPriority w:val="0"/>
    <w:pPr>
      <w:keepNext/>
      <w:outlineLvl w:val="1"/>
    </w:pPr>
    <w:rPr>
      <w:rFonts w:ascii="Times New Roman" w:hAnsi="Times New Roman" w:eastAsia="宋体" w:cs="Times New Roman"/>
      <w:b/>
      <w:szCs w:val="20"/>
    </w:rPr>
  </w:style>
  <w:style w:type="character" w:default="1" w:styleId="15">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rPr>
      <w:rFonts w:ascii="Times New Roman" w:hAnsi="Times New Roman" w:eastAsia="宋体" w:cs="Times New Roman"/>
      <w:szCs w:val="24"/>
    </w:rPr>
  </w:style>
  <w:style w:type="paragraph" w:styleId="5">
    <w:name w:val="Document Map"/>
    <w:basedOn w:val="1"/>
    <w:link w:val="30"/>
    <w:semiHidden/>
    <w:qFormat/>
    <w:uiPriority w:val="0"/>
    <w:pPr>
      <w:shd w:val="clear" w:color="auto" w:fill="000080"/>
    </w:pPr>
    <w:rPr>
      <w:rFonts w:ascii="Times New Roman" w:hAnsi="Times New Roman" w:eastAsia="宋体" w:cs="Times New Roman"/>
      <w:szCs w:val="20"/>
    </w:rPr>
  </w:style>
  <w:style w:type="paragraph" w:styleId="6">
    <w:name w:val="annotation text"/>
    <w:basedOn w:val="1"/>
    <w:link w:val="37"/>
    <w:semiHidden/>
    <w:unhideWhenUsed/>
    <w:qFormat/>
    <w:uiPriority w:val="99"/>
    <w:pPr>
      <w:jc w:val="left"/>
    </w:pPr>
  </w:style>
  <w:style w:type="paragraph" w:styleId="7">
    <w:name w:val="Body Text"/>
    <w:basedOn w:val="1"/>
    <w:link w:val="24"/>
    <w:semiHidden/>
    <w:unhideWhenUsed/>
    <w:qFormat/>
    <w:uiPriority w:val="99"/>
    <w:pPr>
      <w:spacing w:after="120"/>
    </w:pPr>
  </w:style>
  <w:style w:type="paragraph" w:styleId="8">
    <w:name w:val="Balloon Text"/>
    <w:basedOn w:val="1"/>
    <w:link w:val="18"/>
    <w:unhideWhenUsed/>
    <w:qFormat/>
    <w:uiPriority w:val="0"/>
    <w:rPr>
      <w:sz w:val="18"/>
      <w:szCs w:val="18"/>
    </w:rPr>
  </w:style>
  <w:style w:type="paragraph" w:styleId="9">
    <w:name w:val="footer"/>
    <w:basedOn w:val="1"/>
    <w:link w:val="19"/>
    <w:unhideWhenUsed/>
    <w:qFormat/>
    <w:uiPriority w:val="99"/>
    <w:pPr>
      <w:tabs>
        <w:tab w:val="center" w:pos="4153"/>
        <w:tab w:val="right" w:pos="8306"/>
      </w:tabs>
      <w:snapToGrid w:val="0"/>
      <w:jc w:val="left"/>
    </w:pPr>
    <w:rPr>
      <w:sz w:val="18"/>
      <w:szCs w:val="18"/>
    </w:rPr>
  </w:style>
  <w:style w:type="paragraph" w:styleId="10">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HTML Preformatted"/>
    <w:basedOn w:val="1"/>
    <w:link w:val="21"/>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宋体" w:cs="Arial"/>
      <w:kern w:val="0"/>
      <w:sz w:val="24"/>
      <w:szCs w:val="24"/>
    </w:rPr>
  </w:style>
  <w:style w:type="paragraph" w:styleId="12">
    <w:name w:val="Title"/>
    <w:basedOn w:val="1"/>
    <w:next w:val="1"/>
    <w:link w:val="26"/>
    <w:qFormat/>
    <w:uiPriority w:val="10"/>
    <w:pPr>
      <w:spacing w:before="240" w:after="60"/>
      <w:jc w:val="center"/>
      <w:outlineLvl w:val="0"/>
    </w:pPr>
    <w:rPr>
      <w:rFonts w:ascii="Calibri Light" w:hAnsi="Calibri Light" w:eastAsia="宋体" w:cs="Times New Roman"/>
      <w:b/>
      <w:bCs/>
      <w:kern w:val="0"/>
      <w:sz w:val="32"/>
      <w:szCs w:val="32"/>
    </w:rPr>
  </w:style>
  <w:style w:type="table" w:styleId="14">
    <w:name w:val="Table Grid"/>
    <w:basedOn w:val="13"/>
    <w:qFormat/>
    <w:uiPriority w:val="3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
    <w:name w:val="标题 1 字符"/>
    <w:basedOn w:val="15"/>
    <w:link w:val="2"/>
    <w:qFormat/>
    <w:uiPriority w:val="0"/>
    <w:rPr>
      <w:b/>
      <w:kern w:val="2"/>
      <w:sz w:val="30"/>
    </w:rPr>
  </w:style>
  <w:style w:type="character" w:customStyle="1" w:styleId="17">
    <w:name w:val="标题 2 字符"/>
    <w:basedOn w:val="15"/>
    <w:link w:val="3"/>
    <w:qFormat/>
    <w:uiPriority w:val="0"/>
    <w:rPr>
      <w:b/>
      <w:kern w:val="2"/>
      <w:sz w:val="21"/>
    </w:rPr>
  </w:style>
  <w:style w:type="character" w:customStyle="1" w:styleId="18">
    <w:name w:val="批注框文本 字符"/>
    <w:basedOn w:val="15"/>
    <w:link w:val="8"/>
    <w:qFormat/>
    <w:uiPriority w:val="0"/>
    <w:rPr>
      <w:sz w:val="18"/>
      <w:szCs w:val="18"/>
    </w:rPr>
  </w:style>
  <w:style w:type="character" w:customStyle="1" w:styleId="19">
    <w:name w:val="页脚 字符"/>
    <w:basedOn w:val="15"/>
    <w:link w:val="9"/>
    <w:qFormat/>
    <w:uiPriority w:val="99"/>
    <w:rPr>
      <w:sz w:val="18"/>
      <w:szCs w:val="18"/>
    </w:rPr>
  </w:style>
  <w:style w:type="character" w:customStyle="1" w:styleId="20">
    <w:name w:val="页眉 字符"/>
    <w:basedOn w:val="15"/>
    <w:link w:val="10"/>
    <w:qFormat/>
    <w:uiPriority w:val="99"/>
    <w:rPr>
      <w:sz w:val="18"/>
      <w:szCs w:val="18"/>
    </w:rPr>
  </w:style>
  <w:style w:type="character" w:customStyle="1" w:styleId="21">
    <w:name w:val="HTML 预设格式 字符"/>
    <w:basedOn w:val="15"/>
    <w:link w:val="11"/>
    <w:semiHidden/>
    <w:qFormat/>
    <w:uiPriority w:val="99"/>
    <w:rPr>
      <w:rFonts w:ascii="Arial" w:hAnsi="Arial" w:eastAsia="宋体" w:cs="Arial"/>
      <w:kern w:val="0"/>
      <w:sz w:val="24"/>
      <w:szCs w:val="24"/>
    </w:rPr>
  </w:style>
  <w:style w:type="paragraph" w:customStyle="1" w:styleId="22">
    <w:name w:val="Table Paragraph"/>
    <w:basedOn w:val="1"/>
    <w:qFormat/>
    <w:uiPriority w:val="1"/>
    <w:pPr>
      <w:jc w:val="left"/>
    </w:pPr>
    <w:rPr>
      <w:kern w:val="0"/>
      <w:sz w:val="22"/>
      <w:lang w:eastAsia="en-US"/>
    </w:rPr>
  </w:style>
  <w:style w:type="paragraph" w:customStyle="1" w:styleId="23">
    <w:name w:val="填入的文字"/>
    <w:basedOn w:val="7"/>
    <w:link w:val="25"/>
    <w:qFormat/>
    <w:uiPriority w:val="0"/>
  </w:style>
  <w:style w:type="character" w:customStyle="1" w:styleId="24">
    <w:name w:val="正文文本 字符"/>
    <w:basedOn w:val="15"/>
    <w:link w:val="7"/>
    <w:semiHidden/>
    <w:qFormat/>
    <w:uiPriority w:val="99"/>
    <w:rPr>
      <w:rFonts w:asciiTheme="minorHAnsi" w:hAnsiTheme="minorHAnsi" w:eastAsiaTheme="minorEastAsia" w:cstheme="minorBidi"/>
      <w:kern w:val="2"/>
      <w:sz w:val="21"/>
      <w:szCs w:val="22"/>
    </w:rPr>
  </w:style>
  <w:style w:type="character" w:customStyle="1" w:styleId="25">
    <w:name w:val="填入的文字 Char"/>
    <w:basedOn w:val="24"/>
    <w:link w:val="23"/>
    <w:qFormat/>
    <w:uiPriority w:val="0"/>
    <w:rPr>
      <w:rFonts w:asciiTheme="minorHAnsi" w:hAnsiTheme="minorHAnsi" w:eastAsiaTheme="minorEastAsia" w:cstheme="minorBidi"/>
      <w:kern w:val="2"/>
      <w:sz w:val="21"/>
      <w:szCs w:val="22"/>
    </w:rPr>
  </w:style>
  <w:style w:type="character" w:customStyle="1" w:styleId="26">
    <w:name w:val="标题 字符"/>
    <w:link w:val="12"/>
    <w:qFormat/>
    <w:uiPriority w:val="10"/>
    <w:rPr>
      <w:rFonts w:ascii="Calibri Light" w:hAnsi="Calibri Light"/>
      <w:b/>
      <w:bCs/>
      <w:sz w:val="32"/>
      <w:szCs w:val="32"/>
    </w:rPr>
  </w:style>
  <w:style w:type="paragraph" w:customStyle="1" w:styleId="27">
    <w:name w:val="简单回函地址"/>
    <w:basedOn w:val="1"/>
    <w:qFormat/>
    <w:uiPriority w:val="0"/>
    <w:rPr>
      <w:rFonts w:ascii="Times New Roman" w:hAnsi="Times New Roman" w:eastAsia="宋体" w:cs="Times New Roman"/>
      <w:szCs w:val="20"/>
    </w:rPr>
  </w:style>
  <w:style w:type="character" w:customStyle="1" w:styleId="28">
    <w:name w:val="标题 字符1"/>
    <w:basedOn w:val="15"/>
    <w:qFormat/>
    <w:uiPriority w:val="10"/>
    <w:rPr>
      <w:rFonts w:asciiTheme="majorHAnsi" w:hAnsiTheme="majorHAnsi" w:eastAsiaTheme="majorEastAsia" w:cstheme="majorBidi"/>
      <w:b/>
      <w:bCs/>
      <w:kern w:val="2"/>
      <w:sz w:val="32"/>
      <w:szCs w:val="32"/>
    </w:rPr>
  </w:style>
  <w:style w:type="character" w:customStyle="1" w:styleId="29">
    <w:name w:val="标题 Char1"/>
    <w:basedOn w:val="15"/>
    <w:qFormat/>
    <w:uiPriority w:val="10"/>
    <w:rPr>
      <w:rFonts w:eastAsia="宋体" w:asciiTheme="majorHAnsi" w:hAnsiTheme="majorHAnsi" w:cstheme="majorBidi"/>
      <w:b/>
      <w:bCs/>
      <w:sz w:val="32"/>
      <w:szCs w:val="32"/>
    </w:rPr>
  </w:style>
  <w:style w:type="character" w:customStyle="1" w:styleId="30">
    <w:name w:val="文档结构图 字符"/>
    <w:basedOn w:val="15"/>
    <w:link w:val="5"/>
    <w:semiHidden/>
    <w:qFormat/>
    <w:uiPriority w:val="0"/>
    <w:rPr>
      <w:kern w:val="2"/>
      <w:sz w:val="21"/>
      <w:shd w:val="clear" w:color="auto" w:fill="000080"/>
    </w:rPr>
  </w:style>
  <w:style w:type="paragraph" w:styleId="31">
    <w:name w:val="List Paragraph"/>
    <w:basedOn w:val="1"/>
    <w:qFormat/>
    <w:uiPriority w:val="99"/>
    <w:pPr>
      <w:spacing w:line="360" w:lineRule="auto"/>
      <w:ind w:firstLine="420" w:firstLineChars="200"/>
    </w:pPr>
    <w:rPr>
      <w:rFonts w:ascii="Calibri" w:hAnsi="Calibri" w:eastAsia="宋体" w:cs="Calibri"/>
      <w:color w:val="000000" w:themeColor="text1"/>
      <w:sz w:val="24"/>
      <w:szCs w:val="21"/>
    </w:rPr>
  </w:style>
  <w:style w:type="character" w:customStyle="1" w:styleId="32">
    <w:name w:val="明显强调1"/>
    <w:basedOn w:val="15"/>
    <w:qFormat/>
    <w:uiPriority w:val="21"/>
    <w:rPr>
      <w:i/>
      <w:iCs/>
      <w:color w:val="5B9BD5" w:themeColor="accent1"/>
    </w:rPr>
  </w:style>
  <w:style w:type="paragraph" w:customStyle="1" w:styleId="33">
    <w:name w:val="图表名称"/>
    <w:basedOn w:val="1"/>
    <w:link w:val="34"/>
    <w:qFormat/>
    <w:uiPriority w:val="0"/>
    <w:pPr>
      <w:adjustRightInd w:val="0"/>
      <w:snapToGrid w:val="0"/>
      <w:spacing w:beforeLines="50" w:afterLines="50" w:line="500" w:lineRule="exact"/>
      <w:jc w:val="center"/>
    </w:pPr>
    <w:rPr>
      <w:rFonts w:ascii="Times New Roman" w:hAnsi="Times New Roman" w:eastAsia="华文楷体"/>
      <w:b/>
    </w:rPr>
  </w:style>
  <w:style w:type="character" w:customStyle="1" w:styleId="34">
    <w:name w:val="图表名称 Char"/>
    <w:basedOn w:val="15"/>
    <w:link w:val="33"/>
    <w:qFormat/>
    <w:uiPriority w:val="0"/>
    <w:rPr>
      <w:rFonts w:eastAsia="华文楷体" w:cstheme="minorBidi"/>
      <w:b/>
      <w:kern w:val="2"/>
      <w:sz w:val="21"/>
      <w:szCs w:val="22"/>
    </w:rPr>
  </w:style>
  <w:style w:type="paragraph" w:customStyle="1" w:styleId="35">
    <w:name w:val="三级标题"/>
    <w:basedOn w:val="1"/>
    <w:link w:val="36"/>
    <w:qFormat/>
    <w:uiPriority w:val="0"/>
    <w:pPr>
      <w:widowControl/>
      <w:spacing w:beforeLines="50" w:afterLines="50" w:line="360" w:lineRule="auto"/>
    </w:pPr>
    <w:rPr>
      <w:rFonts w:ascii="Times New Roman" w:hAnsi="Times New Roman" w:eastAsia="黑体" w:cs="黑体"/>
      <w:b/>
      <w:color w:val="000000"/>
      <w:sz w:val="32"/>
    </w:rPr>
  </w:style>
  <w:style w:type="character" w:customStyle="1" w:styleId="36">
    <w:name w:val="三级标题 Char"/>
    <w:link w:val="35"/>
    <w:qFormat/>
    <w:uiPriority w:val="0"/>
    <w:rPr>
      <w:rFonts w:eastAsia="黑体" w:cs="黑体"/>
      <w:b/>
      <w:color w:val="000000"/>
      <w:kern w:val="2"/>
      <w:sz w:val="32"/>
      <w:szCs w:val="22"/>
    </w:rPr>
  </w:style>
  <w:style w:type="character" w:customStyle="1" w:styleId="37">
    <w:name w:val="批注文字 字符"/>
    <w:basedOn w:val="15"/>
    <w:link w:val="6"/>
    <w:semiHidden/>
    <w:qFormat/>
    <w:uiPriority w:val="99"/>
    <w:rPr>
      <w:rFonts w:asciiTheme="minorHAnsi" w:hAnsiTheme="minorHAnsi" w:eastAsiaTheme="minorEastAsia" w:cstheme="minorBidi"/>
      <w:kern w:val="2"/>
      <w:sz w:val="21"/>
      <w:szCs w:val="22"/>
    </w:rPr>
  </w:style>
  <w:style w:type="paragraph" w:customStyle="1" w:styleId="38">
    <w:name w:val="表"/>
    <w:basedOn w:val="1"/>
    <w:qFormat/>
    <w:uiPriority w:val="0"/>
    <w:pPr>
      <w:spacing w:line="0" w:lineRule="atLeast"/>
    </w:pPr>
    <w:rPr>
      <w:rFonts w:eastAsia="华文细黑" w:cs="华文细黑"/>
      <w:kern w:val="10"/>
      <w:sz w:val="18"/>
      <w:szCs w:val="21"/>
    </w:rPr>
  </w:style>
  <w:style w:type="paragraph" w:customStyle="1" w:styleId="39">
    <w:name w:val="Default"/>
    <w:qFormat/>
    <w:uiPriority w:val="0"/>
    <w:pPr>
      <w:widowControl w:val="0"/>
      <w:autoSpaceDE w:val="0"/>
      <w:autoSpaceDN w:val="0"/>
      <w:adjustRightInd w:val="0"/>
    </w:pPr>
    <w:rPr>
      <w:rFonts w:ascii="楷体" w:hAnsi="楷体" w:eastAsia="宋体" w:cs="楷体"/>
      <w:color w:val="000000"/>
      <w:sz w:val="24"/>
      <w:szCs w:val="24"/>
      <w:lang w:val="en-US" w:eastAsia="zh-CN" w:bidi="ar-SA"/>
    </w:rPr>
  </w:style>
  <w:style w:type="character" w:customStyle="1" w:styleId="40">
    <w:name w:val="无"/>
    <w:qFormat/>
    <w:uiPriority w:val="0"/>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AB49D3-3027-4F59-AF21-BE543E3A63D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1235</Words>
  <Characters>7046</Characters>
  <Lines>58</Lines>
  <Paragraphs>16</Paragraphs>
  <TotalTime>281</TotalTime>
  <ScaleCrop>false</ScaleCrop>
  <LinksUpToDate>false</LinksUpToDate>
  <CharactersWithSpaces>8265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2021-06-28T11:19:00Z</dcterms:created>
  <dc:creator>DELL</dc:creator>
  <cp:lastModifiedBy>Lenovo</cp:lastModifiedBy>
  <cp:lastPrinted>2021-06-16T07:50:00Z</cp:lastPrinted>
  <dcterms:modified xsi:type="dcterms:W3CDTF">2021-08-25T13:42:57Z</dcterms:modified>
  <cp:revision>140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9B7AAC69E122440086A7144C1001D141</vt:lpwstr>
  </property>
</Properties>
</file>